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A75477" w14:textId="77777777" w:rsidR="00FB66E1" w:rsidRDefault="00FB66E1" w:rsidP="00FB66E1">
      <w:pPr>
        <w:rPr>
          <w:rFonts w:ascii="標楷體-繁" w:eastAsia="標楷體-繁" w:hAnsi="標楷體-繁"/>
          <w:sz w:val="48"/>
          <w:szCs w:val="48"/>
        </w:rPr>
      </w:pPr>
      <w:bookmarkStart w:id="0" w:name="header"/>
      <w:bookmarkStart w:id="1" w:name="世界衛生組織合法抽稅納管電子菸建議台灣部分監管政策研究報告"/>
      <w:bookmarkStart w:id="2" w:name="content"/>
      <w:bookmarkEnd w:id="0"/>
      <w:r>
        <w:rPr>
          <w:rFonts w:ascii="標楷體-繁" w:eastAsia="標楷體-繁" w:hAnsi="標楷體-繁" w:cs="新細明體"/>
          <w:b/>
          <w:bCs/>
          <w:noProof/>
          <w:kern w:val="36"/>
          <w:sz w:val="48"/>
          <w:szCs w:val="48"/>
        </w:rPr>
        <w:drawing>
          <wp:anchor distT="0" distB="0" distL="114300" distR="114300" simplePos="0" relativeHeight="251659264" behindDoc="1" locked="0" layoutInCell="1" allowOverlap="1" wp14:anchorId="5B7E53B3" wp14:editId="185DD12C">
            <wp:simplePos x="0" y="0"/>
            <wp:positionH relativeFrom="column">
              <wp:posOffset>1232889</wp:posOffset>
            </wp:positionH>
            <wp:positionV relativeFrom="paragraph">
              <wp:posOffset>-127591</wp:posOffset>
            </wp:positionV>
            <wp:extent cx="2756263" cy="2700513"/>
            <wp:effectExtent l="0" t="0" r="0" b="5080"/>
            <wp:wrapNone/>
            <wp:docPr id="6" name="圖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圖片 3"/>
                    <pic:cNvPicPr/>
                  </pic:nvPicPr>
                  <pic:blipFill>
                    <a:blip r:embed="rId7" cstate="print">
                      <a:extLst>
                        <a:ext uri="{28A0092B-C50C-407E-A947-70E740481C1C}">
                          <a14:useLocalDpi xmlns:a14="http://schemas.microsoft.com/office/drawing/2010/main" val="0"/>
                        </a:ext>
                      </a:extLst>
                    </a:blip>
                    <a:stretch>
                      <a:fillRect/>
                    </a:stretch>
                  </pic:blipFill>
                  <pic:spPr>
                    <a:xfrm>
                      <a:off x="0" y="0"/>
                      <a:ext cx="2756263" cy="2700513"/>
                    </a:xfrm>
                    <a:prstGeom prst="rect">
                      <a:avLst/>
                    </a:prstGeom>
                  </pic:spPr>
                </pic:pic>
              </a:graphicData>
            </a:graphic>
            <wp14:sizeRelH relativeFrom="page">
              <wp14:pctWidth>0</wp14:pctWidth>
            </wp14:sizeRelH>
            <wp14:sizeRelV relativeFrom="page">
              <wp14:pctHeight>0</wp14:pctHeight>
            </wp14:sizeRelV>
          </wp:anchor>
        </w:drawing>
      </w:r>
    </w:p>
    <w:p w14:paraId="6260346B" w14:textId="77777777" w:rsidR="00FB66E1" w:rsidRDefault="00FB66E1" w:rsidP="00FB66E1">
      <w:pPr>
        <w:rPr>
          <w:rFonts w:ascii="標楷體-繁" w:eastAsia="標楷體-繁" w:hAnsi="標楷體-繁"/>
          <w:sz w:val="48"/>
          <w:szCs w:val="48"/>
        </w:rPr>
      </w:pPr>
    </w:p>
    <w:p w14:paraId="1FC7C8E3" w14:textId="77777777" w:rsidR="00FB66E1" w:rsidRDefault="00FB66E1" w:rsidP="00FB66E1">
      <w:pPr>
        <w:rPr>
          <w:rFonts w:ascii="標楷體-繁" w:eastAsia="標楷體-繁" w:hAnsi="標楷體-繁"/>
          <w:sz w:val="48"/>
          <w:szCs w:val="48"/>
        </w:rPr>
      </w:pPr>
    </w:p>
    <w:p w14:paraId="4E72620A" w14:textId="77777777" w:rsidR="00FB66E1" w:rsidRDefault="00FB66E1" w:rsidP="00FB66E1">
      <w:pPr>
        <w:rPr>
          <w:rFonts w:ascii="標楷體-繁" w:eastAsia="標楷體-繁" w:hAnsi="標楷體-繁"/>
          <w:sz w:val="48"/>
          <w:szCs w:val="48"/>
        </w:rPr>
      </w:pPr>
    </w:p>
    <w:p w14:paraId="1527EE9B" w14:textId="77777777" w:rsidR="00FB66E1" w:rsidRDefault="00FB66E1" w:rsidP="00FB66E1">
      <w:pPr>
        <w:rPr>
          <w:rFonts w:ascii="標楷體-繁" w:eastAsia="標楷體-繁" w:hAnsi="標楷體-繁"/>
          <w:sz w:val="48"/>
          <w:szCs w:val="48"/>
        </w:rPr>
      </w:pPr>
    </w:p>
    <w:p w14:paraId="37F96309" w14:textId="77777777" w:rsidR="00FB66E1" w:rsidRDefault="00FB66E1" w:rsidP="00FB66E1">
      <w:pPr>
        <w:rPr>
          <w:rFonts w:ascii="標楷體-繁" w:eastAsia="標楷體-繁" w:hAnsi="標楷體-繁"/>
          <w:sz w:val="48"/>
          <w:szCs w:val="48"/>
        </w:rPr>
      </w:pPr>
    </w:p>
    <w:p w14:paraId="788627C8" w14:textId="72E79D2A" w:rsidR="00FB66E1" w:rsidRDefault="00765AE4" w:rsidP="00FB66E1">
      <w:pPr>
        <w:rPr>
          <w:rFonts w:ascii="標楷體-繁" w:eastAsia="標楷體-繁" w:hAnsi="標楷體-繁" w:cs="新細明體"/>
          <w:kern w:val="36"/>
          <w:sz w:val="40"/>
          <w:szCs w:val="40"/>
        </w:rPr>
      </w:pPr>
      <w:r>
        <w:rPr>
          <w:rFonts w:ascii="標楷體-繁" w:eastAsia="標楷體-繁" w:hAnsi="標楷體-繁" w:hint="eastAsia"/>
          <w:sz w:val="48"/>
          <w:szCs w:val="48"/>
        </w:rPr>
        <w:t>美國</w:t>
      </w:r>
      <w:r>
        <w:rPr>
          <w:rFonts w:ascii="標楷體-繁" w:eastAsia="標楷體-繁" w:hAnsi="標楷體-繁"/>
          <w:sz w:val="48"/>
          <w:szCs w:val="48"/>
        </w:rPr>
        <w:t>FDA</w:t>
      </w:r>
      <w:r w:rsidR="00FA2243">
        <w:rPr>
          <w:rFonts w:ascii="標楷體-繁" w:eastAsia="標楷體-繁" w:hAnsi="標楷體-繁" w:hint="eastAsia"/>
          <w:sz w:val="48"/>
          <w:szCs w:val="48"/>
        </w:rPr>
        <w:t>加味</w:t>
      </w:r>
      <w:r w:rsidR="001004FB">
        <w:rPr>
          <w:rFonts w:ascii="標楷體-繁" w:eastAsia="標楷體-繁" w:hAnsi="標楷體-繁" w:hint="eastAsia"/>
          <w:sz w:val="48"/>
          <w:szCs w:val="48"/>
        </w:rPr>
        <w:t>尼古丁</w:t>
      </w:r>
      <w:r w:rsidR="00FA2243">
        <w:rPr>
          <w:rFonts w:ascii="標楷體-繁" w:eastAsia="標楷體-繁" w:hAnsi="標楷體-繁" w:hint="eastAsia"/>
          <w:sz w:val="48"/>
          <w:szCs w:val="48"/>
        </w:rPr>
        <w:t>菸</w:t>
      </w:r>
      <w:r w:rsidR="001004FB">
        <w:rPr>
          <w:rFonts w:ascii="標楷體-繁" w:eastAsia="標楷體-繁" w:hAnsi="標楷體-繁" w:hint="eastAsia"/>
          <w:sz w:val="48"/>
          <w:szCs w:val="48"/>
        </w:rPr>
        <w:t>品</w:t>
      </w:r>
      <w:r w:rsidR="00FA2243">
        <w:rPr>
          <w:rFonts w:ascii="標楷體-繁" w:eastAsia="標楷體-繁" w:hAnsi="標楷體-繁" w:hint="eastAsia"/>
          <w:sz w:val="48"/>
          <w:szCs w:val="48"/>
        </w:rPr>
        <w:t>上市前審查（</w:t>
      </w:r>
      <w:r w:rsidR="00FA2243" w:rsidRPr="00FA2243">
        <w:rPr>
          <w:rFonts w:ascii="標楷體-繁" w:eastAsia="標楷體-繁" w:hAnsi="標楷體-繁" w:hint="eastAsia"/>
          <w:sz w:val="48"/>
          <w:szCs w:val="48"/>
        </w:rPr>
        <w:t>與青少年風險相關之考量</w:t>
      </w:r>
      <w:r w:rsidR="00FA2243">
        <w:rPr>
          <w:rFonts w:ascii="標楷體-繁" w:eastAsia="標楷體-繁" w:hAnsi="標楷體-繁" w:hint="eastAsia"/>
          <w:sz w:val="48"/>
          <w:szCs w:val="48"/>
        </w:rPr>
        <w:t>）產業指引</w:t>
      </w:r>
    </w:p>
    <w:p w14:paraId="3AD3B25C" w14:textId="77777777" w:rsidR="00FB66E1" w:rsidRDefault="00FB66E1" w:rsidP="00FB66E1">
      <w:pPr>
        <w:rPr>
          <w:rFonts w:ascii="標楷體-繁" w:eastAsia="標楷體-繁" w:hAnsi="標楷體-繁" w:cs="新細明體"/>
          <w:kern w:val="36"/>
          <w:sz w:val="40"/>
          <w:szCs w:val="40"/>
        </w:rPr>
      </w:pPr>
    </w:p>
    <w:p w14:paraId="4DB11493" w14:textId="6FD433CA" w:rsidR="00FB66E1" w:rsidRPr="00901C6B" w:rsidRDefault="00FB66E1" w:rsidP="00FB66E1">
      <w:pPr>
        <w:rPr>
          <w:rFonts w:ascii="標楷體-繁" w:eastAsia="標楷體-繁" w:hAnsi="標楷體-繁" w:cs="新細明體"/>
          <w:kern w:val="36"/>
          <w:sz w:val="40"/>
          <w:szCs w:val="40"/>
        </w:rPr>
      </w:pPr>
      <w:r w:rsidRPr="00901C6B">
        <w:rPr>
          <w:rFonts w:ascii="標楷體-繁" w:eastAsia="標楷體-繁" w:hAnsi="標楷體-繁" w:cs="新細明體" w:hint="eastAsia"/>
          <w:kern w:val="36"/>
          <w:sz w:val="40"/>
          <w:szCs w:val="40"/>
        </w:rPr>
        <w:t>作者：王郁揚 世衛菸草減害專家</w:t>
      </w:r>
    </w:p>
    <w:p w14:paraId="1D6F1B0E" w14:textId="21A6DA2A" w:rsidR="00FB66E1" w:rsidRPr="00901C6B" w:rsidRDefault="00FB66E1" w:rsidP="00FB66E1">
      <w:pPr>
        <w:rPr>
          <w:rFonts w:ascii="標楷體-繁" w:eastAsia="標楷體-繁" w:hAnsi="標楷體-繁" w:cs="新細明體"/>
          <w:kern w:val="36"/>
          <w:sz w:val="40"/>
          <w:szCs w:val="40"/>
        </w:rPr>
      </w:pPr>
      <w:r w:rsidRPr="00901C6B">
        <w:rPr>
          <w:rFonts w:ascii="標楷體-繁" w:eastAsia="標楷體-繁" w:hAnsi="標楷體-繁" w:cs="新細明體" w:hint="eastAsia"/>
          <w:kern w:val="36"/>
          <w:sz w:val="40"/>
          <w:szCs w:val="40"/>
        </w:rPr>
        <w:t>研究助理：</w:t>
      </w:r>
      <w:proofErr w:type="spellStart"/>
      <w:r w:rsidRPr="00901C6B">
        <w:rPr>
          <w:rFonts w:ascii="標楷體-繁" w:eastAsia="標楷體-繁" w:hAnsi="標楷體-繁" w:cs="新細明體"/>
          <w:kern w:val="36"/>
          <w:sz w:val="40"/>
          <w:szCs w:val="40"/>
        </w:rPr>
        <w:t>ChatGPT</w:t>
      </w:r>
      <w:proofErr w:type="spellEnd"/>
      <w:r>
        <w:rPr>
          <w:rFonts w:ascii="標楷體-繁" w:eastAsia="標楷體-繁" w:hAnsi="標楷體-繁" w:cs="新細明體"/>
          <w:kern w:val="36"/>
          <w:sz w:val="40"/>
          <w:szCs w:val="40"/>
        </w:rPr>
        <w:t xml:space="preserve"> </w:t>
      </w:r>
      <w:r w:rsidRPr="00901C6B">
        <w:rPr>
          <w:rFonts w:ascii="標楷體-繁" w:eastAsia="標楷體-繁" w:hAnsi="標楷體-繁" w:cs="新細明體"/>
          <w:kern w:val="36"/>
          <w:sz w:val="40"/>
          <w:szCs w:val="40"/>
        </w:rPr>
        <w:t>5</w:t>
      </w:r>
      <w:r>
        <w:rPr>
          <w:rFonts w:ascii="標楷體-繁" w:eastAsia="標楷體-繁" w:hAnsi="標楷體-繁" w:cs="新細明體"/>
          <w:kern w:val="36"/>
          <w:sz w:val="40"/>
          <w:szCs w:val="40"/>
        </w:rPr>
        <w:t>.</w:t>
      </w:r>
      <w:r w:rsidR="006B79D7">
        <w:rPr>
          <w:rFonts w:ascii="標楷體-繁" w:eastAsia="標楷體-繁" w:hAnsi="標楷體-繁" w:cs="新細明體"/>
          <w:kern w:val="36"/>
          <w:sz w:val="40"/>
          <w:szCs w:val="40"/>
        </w:rPr>
        <w:t>4</w:t>
      </w:r>
    </w:p>
    <w:p w14:paraId="6A714F6C" w14:textId="77777777" w:rsidR="00FB66E1" w:rsidRDefault="00FB66E1" w:rsidP="00FB66E1">
      <w:pPr>
        <w:rPr>
          <w:rFonts w:ascii="標楷體-繁" w:eastAsia="標楷體-繁" w:hAnsi="標楷體-繁"/>
          <w:sz w:val="48"/>
          <w:szCs w:val="48"/>
        </w:rPr>
      </w:pPr>
    </w:p>
    <w:p w14:paraId="381FF672" w14:textId="213C7D69" w:rsidR="00FB66E1" w:rsidRDefault="00FB66E1" w:rsidP="00FB66E1">
      <w:pPr>
        <w:rPr>
          <w:rFonts w:ascii="標楷體-繁" w:eastAsia="標楷體-繁" w:hAnsi="標楷體-繁"/>
          <w:sz w:val="48"/>
          <w:szCs w:val="48"/>
        </w:rPr>
      </w:pPr>
    </w:p>
    <w:p w14:paraId="3D3E3FB1" w14:textId="28A3E3F0" w:rsidR="00FB66E1" w:rsidRDefault="00FB66E1" w:rsidP="00FB66E1">
      <w:pPr>
        <w:rPr>
          <w:rFonts w:ascii="標楷體-繁" w:eastAsia="標楷體-繁" w:hAnsi="標楷體-繁"/>
          <w:sz w:val="48"/>
          <w:szCs w:val="48"/>
        </w:rPr>
      </w:pPr>
      <w:r>
        <w:rPr>
          <w:rFonts w:ascii="標楷體-繁" w:eastAsia="標楷體-繁" w:hAnsi="標楷體-繁" w:cs="新細明體"/>
          <w:b/>
          <w:bCs/>
          <w:noProof/>
          <w:kern w:val="36"/>
          <w:sz w:val="48"/>
          <w:szCs w:val="48"/>
        </w:rPr>
        <mc:AlternateContent>
          <mc:Choice Requires="wps">
            <w:drawing>
              <wp:anchor distT="0" distB="0" distL="114300" distR="114300" simplePos="0" relativeHeight="251660288" behindDoc="0" locked="0" layoutInCell="1" allowOverlap="1" wp14:anchorId="622E41F9" wp14:editId="4C68E98A">
                <wp:simplePos x="0" y="0"/>
                <wp:positionH relativeFrom="column">
                  <wp:posOffset>-55145</wp:posOffset>
                </wp:positionH>
                <wp:positionV relativeFrom="paragraph">
                  <wp:posOffset>326457</wp:posOffset>
                </wp:positionV>
                <wp:extent cx="4045685" cy="261453"/>
                <wp:effectExtent l="0" t="0" r="5715" b="5715"/>
                <wp:wrapNone/>
                <wp:docPr id="5" name="文字方塊 5"/>
                <wp:cNvGraphicFramePr/>
                <a:graphic xmlns:a="http://schemas.openxmlformats.org/drawingml/2006/main">
                  <a:graphicData uri="http://schemas.microsoft.com/office/word/2010/wordprocessingShape">
                    <wps:wsp>
                      <wps:cNvSpPr txBox="1"/>
                      <wps:spPr>
                        <a:xfrm>
                          <a:off x="0" y="0"/>
                          <a:ext cx="4045685" cy="261453"/>
                        </a:xfrm>
                        <a:prstGeom prst="rect">
                          <a:avLst/>
                        </a:prstGeom>
                        <a:solidFill>
                          <a:schemeClr val="lt1"/>
                        </a:solidFill>
                        <a:ln w="6350">
                          <a:solidFill>
                            <a:schemeClr val="tx1"/>
                          </a:solidFill>
                        </a:ln>
                      </wps:spPr>
                      <wps:txbx>
                        <w:txbxContent>
                          <w:p w14:paraId="533C2345" w14:textId="77777777" w:rsidR="00FB66E1" w:rsidRPr="00D95E84" w:rsidRDefault="00FB66E1" w:rsidP="00FB66E1">
                            <w:pPr>
                              <w:rPr>
                                <w:rFonts w:ascii="標楷體-繁" w:eastAsia="標楷體-繁" w:hAnsi="標楷體-繁"/>
                                <w:sz w:val="18"/>
                                <w:szCs w:val="18"/>
                              </w:rPr>
                            </w:pPr>
                            <w:proofErr w:type="spellStart"/>
                            <w:r w:rsidRPr="00D95E84">
                              <w:rPr>
                                <w:rFonts w:ascii="標楷體-繁" w:eastAsia="標楷體-繁" w:hAnsi="標楷體-繁" w:hint="eastAsia"/>
                                <w:sz w:val="18"/>
                                <w:szCs w:val="18"/>
                              </w:rPr>
                              <w:t>ChatGPT</w:t>
                            </w:r>
                            <w:proofErr w:type="spellEnd"/>
                            <w:r w:rsidRPr="00D95E84">
                              <w:rPr>
                                <w:rFonts w:ascii="標楷體-繁" w:eastAsia="標楷體-繁" w:hAnsi="標楷體-繁" w:hint="eastAsia"/>
                                <w:sz w:val="18"/>
                                <w:szCs w:val="18"/>
                              </w:rPr>
                              <w:t xml:space="preserve"> 可能發生人工智慧幻覺</w:t>
                            </w:r>
                            <w:r>
                              <w:rPr>
                                <w:rFonts w:ascii="標楷體-繁" w:eastAsia="標楷體-繁" w:hAnsi="標楷體-繁" w:hint="eastAsia"/>
                                <w:sz w:val="18"/>
                                <w:szCs w:val="18"/>
                              </w:rPr>
                              <w:t>（</w:t>
                            </w:r>
                            <w:r w:rsidRPr="00D95E84">
                              <w:rPr>
                                <w:rFonts w:ascii="標楷體-繁" w:eastAsia="標楷體-繁" w:hAnsi="標楷體-繁"/>
                                <w:sz w:val="18"/>
                                <w:szCs w:val="18"/>
                              </w:rPr>
                              <w:t>hallucination</w:t>
                            </w:r>
                            <w:r>
                              <w:rPr>
                                <w:rFonts w:ascii="標楷體-繁" w:eastAsia="標楷體-繁" w:hAnsi="標楷體-繁" w:hint="eastAsia"/>
                                <w:sz w:val="18"/>
                                <w:szCs w:val="18"/>
                              </w:rPr>
                              <w:t>）</w:t>
                            </w:r>
                            <w:r w:rsidRPr="00D95E84">
                              <w:rPr>
                                <w:rFonts w:ascii="標楷體-繁" w:eastAsia="標楷體-繁" w:hAnsi="標楷體-繁" w:hint="eastAsia"/>
                                <w:sz w:val="18"/>
                                <w:szCs w:val="18"/>
                              </w:rPr>
                              <w:t>，進而產生不</w:t>
                            </w:r>
                            <w:r>
                              <w:rPr>
                                <w:rFonts w:ascii="標楷體-繁" w:eastAsia="標楷體-繁" w:hAnsi="標楷體-繁" w:hint="eastAsia"/>
                                <w:sz w:val="18"/>
                                <w:szCs w:val="18"/>
                              </w:rPr>
                              <w:t>精準</w:t>
                            </w:r>
                            <w:r w:rsidRPr="00D95E84">
                              <w:rPr>
                                <w:rFonts w:ascii="標楷體-繁" w:eastAsia="標楷體-繁" w:hAnsi="標楷體-繁" w:hint="eastAsia"/>
                                <w:sz w:val="18"/>
                                <w:szCs w:val="18"/>
                              </w:rPr>
                              <w:t>資訊。</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22E41F9" id="_x0000_t202" coordsize="21600,21600" o:spt="202" path="m,l,21600r21600,l21600,xe">
                <v:stroke joinstyle="miter"/>
                <v:path gradientshapeok="t" o:connecttype="rect"/>
              </v:shapetype>
              <v:shape id="文字方塊 5" o:spid="_x0000_s1026" type="#_x0000_t202" style="position:absolute;margin-left:-4.35pt;margin-top:25.7pt;width:318.55pt;height:20.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" fillcolor="white [3201]" strokecolor="black [3213]" strokeweight=".5pt">
                <v:textbox>
                  <w:txbxContent>
                    <w:p w14:paraId="533C2345" w14:textId="77777777" w:rsidR="00FB66E1" w:rsidRPr="00D95E84" w:rsidRDefault="00FB66E1" w:rsidP="00FB66E1">
                      <w:pPr>
                        <w:rPr>
                          <w:rFonts w:ascii="標楷體-繁" w:eastAsia="標楷體-繁" w:hAnsi="標楷體-繁"/>
                          <w:sz w:val="18"/>
                          <w:szCs w:val="18"/>
                        </w:rPr>
                      </w:pPr>
                      <w:proofErr w:type="spellStart"/>
                      <w:r w:rsidRPr="00D95E84">
                        <w:rPr>
                          <w:rFonts w:ascii="標楷體-繁" w:eastAsia="標楷體-繁" w:hAnsi="標楷體-繁" w:hint="eastAsia"/>
                          <w:sz w:val="18"/>
                          <w:szCs w:val="18"/>
                        </w:rPr>
                        <w:t>ChatGPT</w:t>
                      </w:r>
                      <w:proofErr w:type="spellEnd"/>
                      <w:r w:rsidRPr="00D95E84">
                        <w:rPr>
                          <w:rFonts w:ascii="標楷體-繁" w:eastAsia="標楷體-繁" w:hAnsi="標楷體-繁" w:hint="eastAsia"/>
                          <w:sz w:val="18"/>
                          <w:szCs w:val="18"/>
                        </w:rPr>
                        <w:t xml:space="preserve"> 可能發生人工智慧幻覺</w:t>
                      </w:r>
                      <w:r>
                        <w:rPr>
                          <w:rFonts w:ascii="標楷體-繁" w:eastAsia="標楷體-繁" w:hAnsi="標楷體-繁" w:hint="eastAsia"/>
                          <w:sz w:val="18"/>
                          <w:szCs w:val="18"/>
                        </w:rPr>
                        <w:t>（</w:t>
                      </w:r>
                      <w:r w:rsidRPr="00D95E84">
                        <w:rPr>
                          <w:rFonts w:ascii="標楷體-繁" w:eastAsia="標楷體-繁" w:hAnsi="標楷體-繁"/>
                          <w:sz w:val="18"/>
                          <w:szCs w:val="18"/>
                        </w:rPr>
                        <w:t>hallucination</w:t>
                      </w:r>
                      <w:r>
                        <w:rPr>
                          <w:rFonts w:ascii="標楷體-繁" w:eastAsia="標楷體-繁" w:hAnsi="標楷體-繁" w:hint="eastAsia"/>
                          <w:sz w:val="18"/>
                          <w:szCs w:val="18"/>
                        </w:rPr>
                        <w:t>）</w:t>
                      </w:r>
                      <w:r w:rsidRPr="00D95E84">
                        <w:rPr>
                          <w:rFonts w:ascii="標楷體-繁" w:eastAsia="標楷體-繁" w:hAnsi="標楷體-繁" w:hint="eastAsia"/>
                          <w:sz w:val="18"/>
                          <w:szCs w:val="18"/>
                        </w:rPr>
                        <w:t>，進而產生不</w:t>
                      </w:r>
                      <w:r>
                        <w:rPr>
                          <w:rFonts w:ascii="標楷體-繁" w:eastAsia="標楷體-繁" w:hAnsi="標楷體-繁" w:hint="eastAsia"/>
                          <w:sz w:val="18"/>
                          <w:szCs w:val="18"/>
                        </w:rPr>
                        <w:t>精準</w:t>
                      </w:r>
                      <w:r w:rsidRPr="00D95E84">
                        <w:rPr>
                          <w:rFonts w:ascii="標楷體-繁" w:eastAsia="標楷體-繁" w:hAnsi="標楷體-繁" w:hint="eastAsia"/>
                          <w:sz w:val="18"/>
                          <w:szCs w:val="18"/>
                        </w:rPr>
                        <w:t>資訊。</w:t>
                      </w:r>
                    </w:p>
                  </w:txbxContent>
                </v:textbox>
              </v:shape>
            </w:pict>
          </mc:Fallback>
        </mc:AlternateContent>
      </w:r>
    </w:p>
    <w:p w14:paraId="0F4CF039" w14:textId="005ECB43" w:rsidR="00FB66E1" w:rsidRPr="006D5C8F" w:rsidRDefault="00FB66E1" w:rsidP="00FB66E1">
      <w:pPr>
        <w:pStyle w:val="1"/>
        <w:jc w:val="distribute"/>
        <w:rPr>
          <w:rFonts w:ascii="標楷體-繁" w:eastAsia="標楷體-繁" w:hAnsi="標楷體-繁"/>
          <w:b/>
          <w:bCs/>
          <w:color w:val="000000" w:themeColor="text1"/>
        </w:rPr>
      </w:pPr>
      <w:r w:rsidRPr="006D5C8F">
        <w:rPr>
          <w:rFonts w:ascii="標楷體-繁" w:eastAsia="標楷體-繁" w:hAnsi="標楷體-繁" w:cs="新細明體" w:hint="eastAsia"/>
          <w:color w:val="000000" w:themeColor="text1"/>
          <w:kern w:val="36"/>
          <w:sz w:val="48"/>
          <w:szCs w:val="48"/>
        </w:rPr>
        <w:t>中華民國</w:t>
      </w:r>
      <w:r w:rsidRPr="006D5C8F">
        <w:rPr>
          <w:rFonts w:ascii="標楷體-繁" w:eastAsia="標楷體-繁" w:hAnsi="標楷體-繁" w:cs="新細明體"/>
          <w:color w:val="000000" w:themeColor="text1"/>
          <w:kern w:val="36"/>
          <w:sz w:val="48"/>
          <w:szCs w:val="48"/>
        </w:rPr>
        <w:t>11</w:t>
      </w:r>
      <w:r w:rsidR="006B79D7">
        <w:rPr>
          <w:rFonts w:ascii="標楷體-繁" w:eastAsia="標楷體-繁" w:hAnsi="標楷體-繁" w:cs="新細明體"/>
          <w:color w:val="000000" w:themeColor="text1"/>
          <w:kern w:val="36"/>
          <w:sz w:val="48"/>
          <w:szCs w:val="48"/>
        </w:rPr>
        <w:t>5</w:t>
      </w:r>
      <w:r w:rsidRPr="006D5C8F">
        <w:rPr>
          <w:rFonts w:ascii="標楷體-繁" w:eastAsia="標楷體-繁" w:hAnsi="標楷體-繁" w:cs="新細明體" w:hint="eastAsia"/>
          <w:color w:val="000000" w:themeColor="text1"/>
          <w:kern w:val="36"/>
          <w:sz w:val="48"/>
          <w:szCs w:val="48"/>
        </w:rPr>
        <w:t>年</w:t>
      </w:r>
      <w:r w:rsidR="006B79D7">
        <w:rPr>
          <w:rFonts w:ascii="標楷體-繁" w:eastAsia="標楷體-繁" w:hAnsi="標楷體-繁" w:cs="新細明體"/>
          <w:color w:val="000000" w:themeColor="text1"/>
          <w:kern w:val="36"/>
          <w:sz w:val="48"/>
          <w:szCs w:val="48"/>
        </w:rPr>
        <w:t>4</w:t>
      </w:r>
      <w:r w:rsidRPr="006D5C8F">
        <w:rPr>
          <w:rFonts w:ascii="標楷體-繁" w:eastAsia="標楷體-繁" w:hAnsi="標楷體-繁" w:cs="新細明體" w:hint="eastAsia"/>
          <w:color w:val="000000" w:themeColor="text1"/>
          <w:kern w:val="36"/>
          <w:sz w:val="48"/>
          <w:szCs w:val="48"/>
        </w:rPr>
        <w:t>月</w:t>
      </w:r>
      <w:r w:rsidR="006B79D7">
        <w:rPr>
          <w:rFonts w:ascii="標楷體-繁" w:eastAsia="標楷體-繁" w:hAnsi="標楷體-繁" w:cs="新細明體"/>
          <w:color w:val="000000" w:themeColor="text1"/>
          <w:kern w:val="36"/>
          <w:sz w:val="48"/>
          <w:szCs w:val="48"/>
        </w:rPr>
        <w:t>9</w:t>
      </w:r>
      <w:r w:rsidRPr="006D5C8F">
        <w:rPr>
          <w:rFonts w:ascii="標楷體-繁" w:eastAsia="標楷體-繁" w:hAnsi="標楷體-繁" w:cs="新細明體" w:hint="eastAsia"/>
          <w:color w:val="000000" w:themeColor="text1"/>
          <w:kern w:val="36"/>
          <w:sz w:val="48"/>
          <w:szCs w:val="48"/>
        </w:rPr>
        <w:t>日</w:t>
      </w:r>
    </w:p>
    <w:p w14:paraId="7B63BE0D" w14:textId="77777777" w:rsidR="00FB66E1" w:rsidRDefault="00FB66E1">
      <w:pPr>
        <w:rPr>
          <w:rFonts w:ascii="標楷體-繁" w:eastAsia="標楷體-繁" w:hAnsi="標楷體-繁" w:cstheme="majorBidi"/>
          <w:b/>
          <w:bCs/>
          <w:color w:val="000000" w:themeColor="text1"/>
          <w:sz w:val="40"/>
          <w:szCs w:val="40"/>
        </w:rPr>
      </w:pPr>
      <w:r>
        <w:rPr>
          <w:rFonts w:ascii="標楷體-繁" w:eastAsia="標楷體-繁" w:hAnsi="標楷體-繁"/>
          <w:b/>
          <w:bCs/>
          <w:color w:val="000000" w:themeColor="text1"/>
        </w:rPr>
        <w:br w:type="page"/>
      </w:r>
    </w:p>
    <w:bookmarkEnd w:id="1"/>
    <w:bookmarkEnd w:id="2"/>
    <w:p w14:paraId="73117DE8" w14:textId="7463701A" w:rsidR="006B79D7" w:rsidRPr="00091A37" w:rsidRDefault="006B79D7" w:rsidP="00765AE4">
      <w:pPr>
        <w:pStyle w:val="Web"/>
        <w:jc w:val="center"/>
        <w:rPr>
          <w:rStyle w:val="af1"/>
          <w:rFonts w:ascii="標楷體-繁" w:eastAsia="標楷體-繁" w:hAnsi="標楷體-繁"/>
        </w:rPr>
      </w:pPr>
      <w:r w:rsidRPr="00091A37">
        <w:rPr>
          <w:rStyle w:val="af1"/>
          <w:rFonts w:ascii="標楷體-繁" w:eastAsia="標楷體-繁" w:hAnsi="標楷體-繁"/>
        </w:rPr>
        <w:lastRenderedPageBreak/>
        <w:t>含非約束性建議</w:t>
      </w:r>
    </w:p>
    <w:p w14:paraId="5DD66103" w14:textId="31AA732E" w:rsidR="006B79D7" w:rsidRPr="00091A37" w:rsidRDefault="006B79D7" w:rsidP="006B79D7">
      <w:pPr>
        <w:pStyle w:val="Web"/>
        <w:jc w:val="center"/>
        <w:rPr>
          <w:rStyle w:val="af1"/>
          <w:rFonts w:ascii="標楷體-繁" w:eastAsia="標楷體-繁" w:hAnsi="標楷體-繁"/>
          <w:sz w:val="44"/>
          <w:szCs w:val="44"/>
        </w:rPr>
      </w:pPr>
      <w:r w:rsidRPr="00091A37">
        <w:rPr>
          <w:rStyle w:val="af1"/>
          <w:rFonts w:ascii="標楷體-繁" w:eastAsia="標楷體-繁" w:hAnsi="標楷體-繁" w:hint="eastAsia"/>
          <w:sz w:val="44"/>
          <w:szCs w:val="44"/>
        </w:rPr>
        <w:t>加味電子尼古丁傳遞系統（ENDS）</w:t>
      </w:r>
    </w:p>
    <w:p w14:paraId="0454A7C1" w14:textId="77777777" w:rsidR="006B79D7" w:rsidRPr="00091A37" w:rsidRDefault="006B79D7" w:rsidP="006B79D7">
      <w:pPr>
        <w:pStyle w:val="Web"/>
        <w:jc w:val="center"/>
        <w:rPr>
          <w:rStyle w:val="af1"/>
          <w:rFonts w:ascii="標楷體-繁" w:eastAsia="標楷體-繁" w:hAnsi="標楷體-繁"/>
          <w:sz w:val="44"/>
          <w:szCs w:val="44"/>
        </w:rPr>
      </w:pPr>
      <w:r w:rsidRPr="00091A37">
        <w:rPr>
          <w:rStyle w:val="af1"/>
          <w:rFonts w:ascii="標楷體-繁" w:eastAsia="標楷體-繁" w:hAnsi="標楷體-繁" w:hint="eastAsia"/>
          <w:sz w:val="44"/>
          <w:szCs w:val="44"/>
        </w:rPr>
        <w:t>上市前申請－與青少年風險相關之考量</w:t>
      </w:r>
    </w:p>
    <w:p w14:paraId="3EB44DA9" w14:textId="77777777" w:rsidR="006B79D7" w:rsidRPr="00765AE4" w:rsidRDefault="006B79D7" w:rsidP="00765AE4">
      <w:pPr>
        <w:pStyle w:val="Web"/>
        <w:jc w:val="center"/>
        <w:rPr>
          <w:rStyle w:val="af1"/>
          <w:rFonts w:ascii="標楷體-繁" w:eastAsia="標楷體-繁" w:hAnsi="標楷體-繁"/>
          <w:sz w:val="72"/>
          <w:szCs w:val="72"/>
        </w:rPr>
      </w:pPr>
      <w:r w:rsidRPr="00765AE4">
        <w:rPr>
          <w:rStyle w:val="af1"/>
          <w:rFonts w:ascii="標楷體-繁" w:eastAsia="標楷體-繁" w:hAnsi="標楷體-繁" w:hint="eastAsia"/>
          <w:sz w:val="72"/>
          <w:szCs w:val="72"/>
        </w:rPr>
        <w:t>產業指引</w:t>
      </w:r>
    </w:p>
    <w:p w14:paraId="773ABF71" w14:textId="01181117" w:rsidR="006B79D7" w:rsidRPr="00765AE4" w:rsidRDefault="006B79D7" w:rsidP="00765AE4">
      <w:pPr>
        <w:pStyle w:val="Web"/>
        <w:jc w:val="center"/>
        <w:rPr>
          <w:rFonts w:ascii="標楷體-繁" w:eastAsia="標楷體-繁" w:hAnsi="標楷體-繁"/>
          <w:sz w:val="40"/>
          <w:szCs w:val="40"/>
        </w:rPr>
      </w:pPr>
      <w:r w:rsidRPr="00765AE4">
        <w:rPr>
          <w:rStyle w:val="af1"/>
          <w:rFonts w:ascii="標楷體-繁" w:eastAsia="標楷體-繁" w:hAnsi="標楷體-繁" w:hint="eastAsia"/>
          <w:sz w:val="40"/>
          <w:szCs w:val="40"/>
        </w:rPr>
        <w:t>指引草案</w:t>
      </w:r>
    </w:p>
    <w:p w14:paraId="78409179" w14:textId="25D07C06" w:rsidR="006B79D7" w:rsidRPr="00765AE4" w:rsidRDefault="006B79D7" w:rsidP="00765AE4">
      <w:pPr>
        <w:pStyle w:val="Web"/>
        <w:jc w:val="center"/>
        <w:rPr>
          <w:rFonts w:ascii="標楷體-繁" w:eastAsia="標楷體-繁" w:hAnsi="標楷體-繁"/>
          <w:b/>
          <w:bCs/>
        </w:rPr>
      </w:pPr>
      <w:r w:rsidRPr="00765AE4">
        <w:rPr>
          <w:rFonts w:ascii="標楷體-繁" w:eastAsia="標楷體-繁" w:hAnsi="標楷體-繁"/>
          <w:b/>
          <w:bCs/>
        </w:rPr>
        <w:t>本指引文件目前僅為徵求意見之用而發布。</w:t>
      </w:r>
    </w:p>
    <w:p w14:paraId="5A359DBE" w14:textId="4A32BF48" w:rsidR="006B79D7" w:rsidRPr="00091A37" w:rsidRDefault="006B79D7" w:rsidP="006B79D7">
      <w:pPr>
        <w:pStyle w:val="Web"/>
        <w:rPr>
          <w:rFonts w:ascii="標楷體-繁" w:eastAsia="標楷體-繁" w:hAnsi="標楷體-繁"/>
        </w:rPr>
      </w:pPr>
      <w:r w:rsidRPr="00091A37">
        <w:rPr>
          <w:rFonts w:ascii="標楷體-繁" w:eastAsia="標楷體-繁" w:hAnsi="標楷體-繁"/>
        </w:rPr>
        <w:t>有關本指引草案的意見，得於《聯邦公報》刊登公告宣布本指引草案可供取得之日起 60 日內提出。電子意見可提交至 http://www.regulations.gov。或者，請將書面意見提交至 Dockets Management Staff (HFA-305), Food and Drug Administration, 5630 Fishers Lane, Rm. 1061, Rockville, MD, 20852。所有意見均應標明刊登於《聯邦公報》之可得性公告中所列之案卷編號。</w:t>
      </w:r>
    </w:p>
    <w:p w14:paraId="29048BF3" w14:textId="17E1037A" w:rsidR="006B79D7" w:rsidRPr="00091A37" w:rsidRDefault="006B79D7" w:rsidP="006B79D7">
      <w:pPr>
        <w:pStyle w:val="Web"/>
        <w:rPr>
          <w:rFonts w:ascii="標楷體-繁" w:eastAsia="標楷體-繁" w:hAnsi="標楷體-繁"/>
        </w:rPr>
      </w:pPr>
      <w:r w:rsidRPr="00091A37">
        <w:rPr>
          <w:rFonts w:ascii="標楷體-繁" w:eastAsia="標楷體-繁" w:hAnsi="標楷體-繁"/>
        </w:rPr>
        <w:t>如對本指引草案有疑問，請聯絡菸品中心（Center for Tobacco Products），電話：(Tel) 1-877-CTP-1373（1-877-287-1373），週一至週五，美東時間上午 9 點至下午 4 點。</w:t>
      </w:r>
    </w:p>
    <w:p w14:paraId="0BA1BCBA" w14:textId="680E220A" w:rsidR="006B79D7" w:rsidRPr="00091A37" w:rsidRDefault="006B79D7" w:rsidP="006B79D7">
      <w:pPr>
        <w:pStyle w:val="Web"/>
        <w:rPr>
          <w:rFonts w:ascii="標楷體-繁" w:eastAsia="標楷體-繁" w:hAnsi="標楷體-繁"/>
        </w:rPr>
      </w:pPr>
      <w:r w:rsidRPr="00091A37">
        <w:rPr>
          <w:rFonts w:ascii="標楷體-繁" w:eastAsia="標楷體-繁" w:hAnsi="標楷體-繁"/>
        </w:rPr>
        <w:t>其他副本可於以下網址取得：</w:t>
      </w:r>
      <w:r w:rsidRPr="00091A37">
        <w:rPr>
          <w:rFonts w:ascii="標楷體-繁" w:eastAsia="標楷體-繁" w:hAnsi="標楷體-繁"/>
        </w:rPr>
        <w:br/>
      </w:r>
      <w:hyperlink r:id="rId8" w:history="1">
        <w:r w:rsidRPr="0009758E">
          <w:rPr>
            <w:rStyle w:val="af"/>
            <w:rFonts w:ascii="標楷體-繁" w:eastAsia="標楷體-繁" w:hAnsi="標楷體-繁"/>
          </w:rPr>
          <w:t>http://www.fda.gov/TobaccoProducts/Labeling/RulesRegulationsGuidance/default.htm</w:t>
        </w:r>
      </w:hyperlink>
      <w:r w:rsidRPr="00091A37">
        <w:rPr>
          <w:rFonts w:ascii="標楷體-繁" w:eastAsia="標楷體-繁" w:hAnsi="標楷體-繁"/>
        </w:rPr>
        <w:t>。</w:t>
      </w:r>
      <w:r w:rsidRPr="00091A37">
        <w:rPr>
          <w:rFonts w:ascii="標楷體-繁" w:eastAsia="標楷體-繁" w:hAnsi="標楷體-繁"/>
        </w:rPr>
        <w:br/>
      </w:r>
      <w:r w:rsidR="0009758E">
        <w:rPr>
          <w:rFonts w:ascii="標楷體-繁" w:eastAsia="標楷體-繁" w:hAnsi="標楷體-繁"/>
        </w:rPr>
        <w:fldChar w:fldCharType="begin"/>
      </w:r>
      <w:r w:rsidR="0009758E">
        <w:rPr>
          <w:rFonts w:ascii="標楷體-繁" w:eastAsia="標楷體-繁" w:hAnsi="標楷體-繁"/>
        </w:rPr>
        <w:instrText xml:space="preserve"> HYPERLINK "https://www.fda.gov/media/191455/download" </w:instrText>
      </w:r>
      <w:r w:rsidR="0009758E">
        <w:rPr>
          <w:rFonts w:ascii="標楷體-繁" w:eastAsia="標楷體-繁" w:hAnsi="標楷體-繁"/>
        </w:rPr>
      </w:r>
      <w:r w:rsidR="0009758E">
        <w:rPr>
          <w:rFonts w:ascii="標楷體-繁" w:eastAsia="標楷體-繁" w:hAnsi="標楷體-繁"/>
        </w:rPr>
        <w:fldChar w:fldCharType="separate"/>
      </w:r>
      <w:r w:rsidR="00FA2243" w:rsidRPr="0009758E">
        <w:rPr>
          <w:rStyle w:val="af"/>
          <w:rFonts w:ascii="標楷體-繁" w:eastAsia="標楷體-繁" w:hAnsi="標楷體-繁"/>
        </w:rPr>
        <w:t>https://www.fda.gov/media/191455/download</w:t>
      </w:r>
      <w:r w:rsidR="0009758E">
        <w:rPr>
          <w:rFonts w:ascii="標楷體-繁" w:eastAsia="標楷體-繁" w:hAnsi="標楷體-繁"/>
        </w:rPr>
        <w:fldChar w:fldCharType="end"/>
      </w:r>
    </w:p>
    <w:p w14:paraId="59C50F34" w14:textId="2E79A452" w:rsidR="006B79D7" w:rsidRPr="00091A37" w:rsidRDefault="006B79D7" w:rsidP="006B79D7">
      <w:pPr>
        <w:pStyle w:val="Web"/>
        <w:rPr>
          <w:rFonts w:ascii="標楷體-繁" w:eastAsia="標楷體-繁" w:hAnsi="標楷體-繁"/>
        </w:rPr>
      </w:pPr>
      <w:r w:rsidRPr="00091A37">
        <w:rPr>
          <w:rFonts w:ascii="標楷體-繁" w:eastAsia="標楷體-繁" w:hAnsi="標楷體-繁"/>
        </w:rPr>
        <w:t>您也可寄送電子郵件至 SmallBiz.Tobacco@fda.hhs.gov 以索取本指引之電子版。您亦可來函索取紙本，地址為：U.S. Food and Drug Administration, Center for Tobacco Products, Attn: Office of Small Business Assistance, Document Control Center, Bldg. 71, Rm. G335, 10903 New Hampshire Ave., Silver Spring, MD 20993-0002。</w:t>
      </w:r>
    </w:p>
    <w:p w14:paraId="4F96353B" w14:textId="5084F6B1" w:rsidR="006B79D7" w:rsidRPr="00091A37" w:rsidRDefault="006B79D7" w:rsidP="00765AE4">
      <w:pPr>
        <w:pStyle w:val="Web"/>
        <w:jc w:val="center"/>
        <w:rPr>
          <w:rFonts w:ascii="標楷體-繁" w:eastAsia="標楷體-繁" w:hAnsi="標楷體-繁"/>
        </w:rPr>
      </w:pPr>
      <w:r w:rsidRPr="00091A37">
        <w:rPr>
          <w:rFonts w:ascii="標楷體-繁" w:eastAsia="標楷體-繁" w:hAnsi="標楷體-繁"/>
        </w:rPr>
        <w:t>美國衛生及公共服務部</w:t>
      </w:r>
      <w:r w:rsidRPr="00091A37">
        <w:rPr>
          <w:rFonts w:ascii="標楷體-繁" w:eastAsia="標楷體-繁" w:hAnsi="標楷體-繁"/>
        </w:rPr>
        <w:br/>
        <w:t>食品藥物管理局</w:t>
      </w:r>
      <w:r w:rsidRPr="00091A37">
        <w:rPr>
          <w:rFonts w:ascii="標楷體-繁" w:eastAsia="標楷體-繁" w:hAnsi="標楷體-繁"/>
        </w:rPr>
        <w:br/>
        <w:t>菸品中心</w:t>
      </w:r>
      <w:r w:rsidRPr="00091A37">
        <w:rPr>
          <w:rFonts w:ascii="標楷體-繁" w:eastAsia="標楷體-繁" w:hAnsi="標楷體-繁"/>
        </w:rPr>
        <w:br/>
        <w:t>2026 年 3 月</w:t>
      </w:r>
      <w:r w:rsidRPr="00091A37">
        <w:rPr>
          <w:rFonts w:ascii="標楷體-繁" w:eastAsia="標楷體-繁" w:hAnsi="標楷體-繁"/>
        </w:rPr>
        <w:br w:type="page"/>
      </w:r>
    </w:p>
    <w:p w14:paraId="380375F8" w14:textId="77777777" w:rsidR="006B79D7" w:rsidRPr="00091A37" w:rsidRDefault="006B79D7" w:rsidP="006B79D7">
      <w:pPr>
        <w:pStyle w:val="Compact"/>
        <w:jc w:val="center"/>
        <w:rPr>
          <w:rFonts w:ascii="標楷體-繁" w:eastAsia="標楷體-繁" w:hAnsi="標楷體-繁"/>
          <w:b/>
          <w:bCs/>
          <w:color w:val="000000" w:themeColor="text1"/>
        </w:rPr>
      </w:pPr>
      <w:r w:rsidRPr="00091A37">
        <w:rPr>
          <w:rFonts w:ascii="標楷體-繁" w:eastAsia="標楷體-繁" w:hAnsi="標楷體-繁" w:hint="eastAsia"/>
          <w:b/>
          <w:bCs/>
          <w:color w:val="000000" w:themeColor="text1"/>
        </w:rPr>
        <w:lastRenderedPageBreak/>
        <w:t>含非約束性建議</w:t>
      </w:r>
    </w:p>
    <w:p w14:paraId="380BA2DB" w14:textId="77777777" w:rsidR="006B79D7" w:rsidRPr="006B79D7" w:rsidRDefault="006B79D7" w:rsidP="006B79D7">
      <w:pPr>
        <w:pStyle w:val="Compact"/>
        <w:jc w:val="both"/>
        <w:rPr>
          <w:rFonts w:ascii="標楷體-繁" w:eastAsia="標楷體-繁" w:hAnsi="標楷體-繁"/>
          <w:color w:val="000000" w:themeColor="text1"/>
        </w:rPr>
      </w:pPr>
    </w:p>
    <w:p w14:paraId="31737F1B" w14:textId="77777777" w:rsidR="006B79D7" w:rsidRPr="00FF3ED7" w:rsidRDefault="006B79D7" w:rsidP="00FF3ED7">
      <w:pPr>
        <w:pStyle w:val="Compact"/>
        <w:rPr>
          <w:rFonts w:ascii="標楷體-繁" w:eastAsia="標楷體-繁" w:hAnsi="標楷體-繁"/>
          <w:color w:val="000000" w:themeColor="text1"/>
          <w:sz w:val="40"/>
          <w:szCs w:val="40"/>
        </w:rPr>
      </w:pPr>
      <w:r w:rsidRPr="00FF3ED7">
        <w:rPr>
          <w:rFonts w:ascii="標楷體-繁" w:eastAsia="標楷體-繁" w:hAnsi="標楷體-繁" w:hint="eastAsia"/>
          <w:color w:val="000000" w:themeColor="text1"/>
          <w:sz w:val="40"/>
          <w:szCs w:val="40"/>
        </w:rPr>
        <w:t>目錄</w:t>
      </w:r>
    </w:p>
    <w:p w14:paraId="36DFF697" w14:textId="77777777" w:rsidR="006B79D7" w:rsidRPr="006B79D7" w:rsidRDefault="006B79D7" w:rsidP="00FF3ED7">
      <w:pPr>
        <w:pStyle w:val="Compact"/>
        <w:rPr>
          <w:rFonts w:ascii="標楷體-繁" w:eastAsia="標楷體-繁" w:hAnsi="標楷體-繁"/>
          <w:color w:val="000000" w:themeColor="text1"/>
          <w:sz w:val="32"/>
          <w:szCs w:val="32"/>
        </w:rPr>
      </w:pPr>
    </w:p>
    <w:p w14:paraId="4903D925" w14:textId="75655A9E" w:rsidR="006B79D7" w:rsidRPr="006B79D7" w:rsidRDefault="006B79D7" w:rsidP="00FF3ED7">
      <w:pPr>
        <w:pStyle w:val="Compact"/>
        <w:rPr>
          <w:rFonts w:ascii="標楷體-繁" w:eastAsia="標楷體-繁" w:hAnsi="標楷體-繁"/>
          <w:color w:val="000000" w:themeColor="text1"/>
          <w:sz w:val="32"/>
          <w:szCs w:val="32"/>
        </w:rPr>
      </w:pPr>
      <w:r w:rsidRPr="006B79D7">
        <w:rPr>
          <w:rFonts w:ascii="標楷體-繁" w:eastAsia="標楷體-繁" w:hAnsi="標楷體-繁" w:hint="eastAsia"/>
          <w:color w:val="000000" w:themeColor="text1"/>
          <w:sz w:val="32"/>
          <w:szCs w:val="32"/>
        </w:rPr>
        <w:t>I. 前言 ...............................................................................</w:t>
      </w:r>
      <w:r w:rsidR="00FF3ED7">
        <w:rPr>
          <w:rFonts w:ascii="標楷體-繁" w:eastAsia="標楷體-繁" w:hAnsi="標楷體-繁"/>
          <w:color w:val="000000" w:themeColor="text1"/>
          <w:sz w:val="32"/>
          <w:szCs w:val="32"/>
        </w:rPr>
        <w:t>.</w:t>
      </w:r>
      <w:r w:rsidRPr="006B79D7">
        <w:rPr>
          <w:rFonts w:ascii="標楷體-繁" w:eastAsia="標楷體-繁" w:hAnsi="標楷體-繁" w:hint="eastAsia"/>
          <w:color w:val="000000" w:themeColor="text1"/>
          <w:sz w:val="32"/>
          <w:szCs w:val="32"/>
        </w:rPr>
        <w:t>.............................. 3</w:t>
      </w:r>
    </w:p>
    <w:p w14:paraId="41E01C75" w14:textId="77777777" w:rsidR="00FF3ED7" w:rsidRDefault="00FF3ED7" w:rsidP="00FF3ED7">
      <w:pPr>
        <w:pStyle w:val="Compact"/>
        <w:rPr>
          <w:rFonts w:ascii="標楷體-繁" w:eastAsia="標楷體-繁" w:hAnsi="標楷體-繁"/>
          <w:color w:val="000000" w:themeColor="text1"/>
          <w:sz w:val="32"/>
          <w:szCs w:val="32"/>
        </w:rPr>
      </w:pPr>
    </w:p>
    <w:p w14:paraId="33AE3590" w14:textId="6D35BEA8" w:rsidR="006B79D7" w:rsidRPr="006B79D7" w:rsidRDefault="006B79D7" w:rsidP="00FF3ED7">
      <w:pPr>
        <w:pStyle w:val="Compact"/>
        <w:rPr>
          <w:rFonts w:ascii="標楷體-繁" w:eastAsia="標楷體-繁" w:hAnsi="標楷體-繁"/>
          <w:color w:val="000000" w:themeColor="text1"/>
          <w:sz w:val="32"/>
          <w:szCs w:val="32"/>
        </w:rPr>
      </w:pPr>
      <w:r w:rsidRPr="006B79D7">
        <w:rPr>
          <w:rFonts w:ascii="標楷體-繁" w:eastAsia="標楷體-繁" w:hAnsi="標楷體-繁" w:hint="eastAsia"/>
          <w:color w:val="000000" w:themeColor="text1"/>
          <w:sz w:val="32"/>
          <w:szCs w:val="32"/>
        </w:rPr>
        <w:t>II. 背景 ............................................................................................................. 6</w:t>
      </w:r>
    </w:p>
    <w:p w14:paraId="06D93419" w14:textId="77777777" w:rsidR="00FF3ED7" w:rsidRDefault="00FF3ED7" w:rsidP="00FF3ED7">
      <w:pPr>
        <w:pStyle w:val="Compact"/>
        <w:rPr>
          <w:rFonts w:ascii="標楷體-繁" w:eastAsia="標楷體-繁" w:hAnsi="標楷體-繁"/>
          <w:color w:val="000000" w:themeColor="text1"/>
          <w:sz w:val="32"/>
          <w:szCs w:val="32"/>
        </w:rPr>
      </w:pPr>
    </w:p>
    <w:p w14:paraId="3D4995FA" w14:textId="4DB07DDC" w:rsidR="006B79D7" w:rsidRPr="006B79D7" w:rsidRDefault="006B79D7" w:rsidP="00FF3ED7">
      <w:pPr>
        <w:pStyle w:val="Compact"/>
        <w:rPr>
          <w:rFonts w:ascii="標楷體-繁" w:eastAsia="標楷體-繁" w:hAnsi="標楷體-繁"/>
          <w:color w:val="000000" w:themeColor="text1"/>
          <w:sz w:val="32"/>
          <w:szCs w:val="32"/>
        </w:rPr>
      </w:pPr>
      <w:r w:rsidRPr="006B79D7">
        <w:rPr>
          <w:rFonts w:ascii="標楷體-繁" w:eastAsia="標楷體-繁" w:hAnsi="標楷體-繁" w:hint="eastAsia"/>
          <w:color w:val="000000" w:themeColor="text1"/>
          <w:sz w:val="32"/>
          <w:szCs w:val="32"/>
        </w:rPr>
        <w:t>III. 討論 ........................................................................................................... 8</w:t>
      </w:r>
    </w:p>
    <w:p w14:paraId="66C7D6B5" w14:textId="77777777" w:rsidR="00FF3ED7" w:rsidRDefault="00FF3ED7" w:rsidP="00FF3ED7">
      <w:pPr>
        <w:pStyle w:val="Compact"/>
        <w:rPr>
          <w:rFonts w:ascii="標楷體-繁" w:eastAsia="標楷體-繁" w:hAnsi="標楷體-繁"/>
          <w:color w:val="000000" w:themeColor="text1"/>
          <w:sz w:val="32"/>
          <w:szCs w:val="32"/>
        </w:rPr>
      </w:pPr>
    </w:p>
    <w:p w14:paraId="4B0B684B" w14:textId="55B04805" w:rsidR="006B79D7" w:rsidRPr="006B79D7" w:rsidRDefault="006B79D7" w:rsidP="00FF3ED7">
      <w:pPr>
        <w:pStyle w:val="Compact"/>
        <w:rPr>
          <w:rFonts w:ascii="標楷體-繁" w:eastAsia="標楷體-繁" w:hAnsi="標楷體-繁"/>
          <w:color w:val="000000" w:themeColor="text1"/>
          <w:sz w:val="32"/>
          <w:szCs w:val="32"/>
        </w:rPr>
      </w:pPr>
      <w:r w:rsidRPr="006B79D7">
        <w:rPr>
          <w:rFonts w:ascii="標楷體-繁" w:eastAsia="標楷體-繁" w:hAnsi="標楷體-繁" w:hint="eastAsia"/>
          <w:color w:val="000000" w:themeColor="text1"/>
          <w:sz w:val="32"/>
          <w:szCs w:val="32"/>
        </w:rPr>
        <w:t>A. 加味 ENDS 在青少年使用與起始使用中日益升高的角色</w:t>
      </w:r>
      <w:proofErr w:type="gramStart"/>
      <w:r w:rsidRPr="006B79D7">
        <w:rPr>
          <w:rFonts w:ascii="標楷體-繁" w:eastAsia="標楷體-繁" w:hAnsi="標楷體-繁" w:hint="eastAsia"/>
          <w:color w:val="000000" w:themeColor="text1"/>
          <w:sz w:val="32"/>
          <w:szCs w:val="32"/>
        </w:rPr>
        <w:t xml:space="preserve"> ..</w:t>
      </w:r>
      <w:proofErr w:type="gramEnd"/>
      <w:r w:rsidRPr="006B79D7">
        <w:rPr>
          <w:rFonts w:ascii="標楷體-繁" w:eastAsia="標楷體-繁" w:hAnsi="標楷體-繁" w:hint="eastAsia"/>
          <w:color w:val="000000" w:themeColor="text1"/>
          <w:sz w:val="32"/>
          <w:szCs w:val="32"/>
        </w:rPr>
        <w:t xml:space="preserve"> 9</w:t>
      </w:r>
    </w:p>
    <w:p w14:paraId="5246DD0E" w14:textId="77777777" w:rsidR="00FF3ED7" w:rsidRDefault="00FF3ED7" w:rsidP="00FF3ED7">
      <w:pPr>
        <w:pStyle w:val="Compact"/>
        <w:rPr>
          <w:rFonts w:ascii="標楷體-繁" w:eastAsia="標楷體-繁" w:hAnsi="標楷體-繁"/>
          <w:color w:val="000000" w:themeColor="text1"/>
          <w:sz w:val="32"/>
          <w:szCs w:val="32"/>
        </w:rPr>
      </w:pPr>
    </w:p>
    <w:p w14:paraId="766FDB3B" w14:textId="1B84D75D" w:rsidR="006B79D7" w:rsidRPr="006B79D7" w:rsidRDefault="006B79D7" w:rsidP="00FF3ED7">
      <w:pPr>
        <w:pStyle w:val="Compact"/>
        <w:rPr>
          <w:rFonts w:ascii="標楷體-繁" w:eastAsia="標楷體-繁" w:hAnsi="標楷體-繁"/>
          <w:color w:val="000000" w:themeColor="text1"/>
          <w:sz w:val="32"/>
          <w:szCs w:val="32"/>
        </w:rPr>
      </w:pPr>
      <w:r w:rsidRPr="006B79D7">
        <w:rPr>
          <w:rFonts w:ascii="標楷體-繁" w:eastAsia="標楷體-繁" w:hAnsi="標楷體-繁" w:hint="eastAsia"/>
          <w:color w:val="000000" w:themeColor="text1"/>
          <w:sz w:val="32"/>
          <w:szCs w:val="32"/>
        </w:rPr>
        <w:t>B. 依風險比例分級之評估 ..............................</w:t>
      </w:r>
      <w:r w:rsidR="00FF3ED7">
        <w:rPr>
          <w:rFonts w:ascii="標楷體-繁" w:eastAsia="標楷體-繁" w:hAnsi="標楷體-繁"/>
          <w:color w:val="000000" w:themeColor="text1"/>
          <w:sz w:val="32"/>
          <w:szCs w:val="32"/>
        </w:rPr>
        <w:t>..............</w:t>
      </w:r>
      <w:r w:rsidRPr="006B79D7">
        <w:rPr>
          <w:rFonts w:ascii="標楷體-繁" w:eastAsia="標楷體-繁" w:hAnsi="標楷體-繁" w:hint="eastAsia"/>
          <w:color w:val="000000" w:themeColor="text1"/>
          <w:sz w:val="32"/>
          <w:szCs w:val="32"/>
        </w:rPr>
        <w:t>........................ 11</w:t>
      </w:r>
    </w:p>
    <w:p w14:paraId="77E0678A" w14:textId="77777777" w:rsidR="00FF3ED7" w:rsidRDefault="00FF3ED7" w:rsidP="00FF3ED7">
      <w:pPr>
        <w:pStyle w:val="Compact"/>
        <w:rPr>
          <w:rFonts w:ascii="標楷體-繁" w:eastAsia="標楷體-繁" w:hAnsi="標楷體-繁"/>
          <w:color w:val="000000" w:themeColor="text1"/>
          <w:sz w:val="32"/>
          <w:szCs w:val="32"/>
        </w:rPr>
      </w:pPr>
    </w:p>
    <w:p w14:paraId="3C3A528E" w14:textId="039B4CDD" w:rsidR="006B79D7" w:rsidRPr="006B79D7" w:rsidRDefault="006B79D7" w:rsidP="00FF3ED7">
      <w:pPr>
        <w:pStyle w:val="Compact"/>
        <w:rPr>
          <w:rFonts w:ascii="標楷體-繁" w:eastAsia="標楷體-繁" w:hAnsi="標楷體-繁"/>
          <w:color w:val="000000" w:themeColor="text1"/>
          <w:sz w:val="32"/>
          <w:szCs w:val="32"/>
        </w:rPr>
      </w:pPr>
      <w:r w:rsidRPr="006B79D7">
        <w:rPr>
          <w:rFonts w:ascii="標楷體-繁" w:eastAsia="標楷體-繁" w:hAnsi="標楷體-繁" w:hint="eastAsia"/>
          <w:color w:val="000000" w:themeColor="text1"/>
          <w:sz w:val="32"/>
          <w:szCs w:val="32"/>
        </w:rPr>
        <w:t>風味對成年吸菸者在轉換行為或顯著減少菸草使用方面之潛在益處 ......</w:t>
      </w:r>
      <w:r w:rsidR="00FF3ED7" w:rsidRPr="006B79D7">
        <w:rPr>
          <w:rFonts w:ascii="標楷體-繁" w:eastAsia="標楷體-繁" w:hAnsi="標楷體-繁" w:hint="eastAsia"/>
          <w:color w:val="000000" w:themeColor="text1"/>
          <w:sz w:val="32"/>
          <w:szCs w:val="32"/>
        </w:rPr>
        <w:t>....................</w:t>
      </w:r>
      <w:r w:rsidR="00FF3ED7">
        <w:rPr>
          <w:rFonts w:ascii="標楷體-繁" w:eastAsia="標楷體-繁" w:hAnsi="標楷體-繁"/>
          <w:color w:val="000000" w:themeColor="text1"/>
          <w:sz w:val="32"/>
          <w:szCs w:val="32"/>
        </w:rPr>
        <w:t>..............</w:t>
      </w:r>
      <w:r w:rsidR="00FF3ED7" w:rsidRPr="006B79D7">
        <w:rPr>
          <w:rFonts w:ascii="標楷體-繁" w:eastAsia="標楷體-繁" w:hAnsi="標楷體-繁" w:hint="eastAsia"/>
          <w:color w:val="000000" w:themeColor="text1"/>
          <w:sz w:val="32"/>
          <w:szCs w:val="32"/>
        </w:rPr>
        <w:t>...............</w:t>
      </w:r>
      <w:r w:rsidR="00FF3ED7">
        <w:rPr>
          <w:rFonts w:ascii="標楷體-繁" w:eastAsia="標楷體-繁" w:hAnsi="標楷體-繁"/>
          <w:color w:val="000000" w:themeColor="text1"/>
          <w:sz w:val="32"/>
          <w:szCs w:val="32"/>
        </w:rPr>
        <w:t>...</w:t>
      </w:r>
      <w:r w:rsidR="00FF3ED7" w:rsidRPr="006B79D7">
        <w:rPr>
          <w:rFonts w:ascii="標楷體-繁" w:eastAsia="標楷體-繁" w:hAnsi="標楷體-繁" w:hint="eastAsia"/>
          <w:color w:val="000000" w:themeColor="text1"/>
          <w:sz w:val="32"/>
          <w:szCs w:val="32"/>
        </w:rPr>
        <w:t>...................</w:t>
      </w:r>
      <w:r w:rsidR="00FF3ED7">
        <w:rPr>
          <w:rFonts w:ascii="標楷體-繁" w:eastAsia="標楷體-繁" w:hAnsi="標楷體-繁"/>
          <w:color w:val="000000" w:themeColor="text1"/>
          <w:sz w:val="32"/>
          <w:szCs w:val="32"/>
        </w:rPr>
        <w:t>..............</w:t>
      </w:r>
      <w:r w:rsidR="00FF3ED7" w:rsidRPr="006B79D7">
        <w:rPr>
          <w:rFonts w:ascii="標楷體-繁" w:eastAsia="標楷體-繁" w:hAnsi="標楷體-繁" w:hint="eastAsia"/>
          <w:color w:val="000000" w:themeColor="text1"/>
          <w:sz w:val="32"/>
          <w:szCs w:val="32"/>
        </w:rPr>
        <w:t>...............</w:t>
      </w:r>
      <w:r w:rsidRPr="006B79D7">
        <w:rPr>
          <w:rFonts w:ascii="標楷體-繁" w:eastAsia="標楷體-繁" w:hAnsi="標楷體-繁" w:hint="eastAsia"/>
          <w:color w:val="000000" w:themeColor="text1"/>
          <w:sz w:val="32"/>
          <w:szCs w:val="32"/>
        </w:rPr>
        <w:t>...... 13</w:t>
      </w:r>
    </w:p>
    <w:p w14:paraId="18BC5D22" w14:textId="77777777" w:rsidR="00FF3ED7" w:rsidRDefault="00FF3ED7" w:rsidP="00FF3ED7">
      <w:pPr>
        <w:pStyle w:val="Compact"/>
        <w:rPr>
          <w:rFonts w:ascii="標楷體-繁" w:eastAsia="標楷體-繁" w:hAnsi="標楷體-繁"/>
          <w:color w:val="000000" w:themeColor="text1"/>
          <w:sz w:val="32"/>
          <w:szCs w:val="32"/>
        </w:rPr>
      </w:pPr>
    </w:p>
    <w:p w14:paraId="247DEF9F" w14:textId="76F10E3E" w:rsidR="006B79D7" w:rsidRPr="006B79D7" w:rsidRDefault="006B79D7" w:rsidP="00FF3ED7">
      <w:pPr>
        <w:pStyle w:val="Compact"/>
        <w:rPr>
          <w:rFonts w:ascii="標楷體-繁" w:eastAsia="標楷體-繁" w:hAnsi="標楷體-繁"/>
          <w:color w:val="000000" w:themeColor="text1"/>
          <w:sz w:val="32"/>
          <w:szCs w:val="32"/>
        </w:rPr>
      </w:pPr>
      <w:r w:rsidRPr="006B79D7">
        <w:rPr>
          <w:rFonts w:ascii="標楷體-繁" w:eastAsia="標楷體-繁" w:hAnsi="標楷體-繁" w:hint="eastAsia"/>
          <w:color w:val="000000" w:themeColor="text1"/>
          <w:sz w:val="32"/>
          <w:szCs w:val="32"/>
        </w:rPr>
        <w:t>評估加味 ENDS 青少年吸引力之潛在研究方法 ......................... 15</w:t>
      </w:r>
    </w:p>
    <w:p w14:paraId="74BAD607" w14:textId="77777777" w:rsidR="00FF3ED7" w:rsidRDefault="00FF3ED7" w:rsidP="00FF3ED7">
      <w:pPr>
        <w:pStyle w:val="Compact"/>
        <w:rPr>
          <w:rFonts w:ascii="標楷體-繁" w:eastAsia="標楷體-繁" w:hAnsi="標楷體-繁"/>
          <w:color w:val="000000" w:themeColor="text1"/>
          <w:sz w:val="32"/>
          <w:szCs w:val="32"/>
        </w:rPr>
      </w:pPr>
    </w:p>
    <w:p w14:paraId="45F2B091" w14:textId="0D4D9787" w:rsidR="006B79D7" w:rsidRPr="006B79D7" w:rsidRDefault="006B79D7" w:rsidP="00FF3ED7">
      <w:pPr>
        <w:pStyle w:val="Compact"/>
        <w:rPr>
          <w:rFonts w:ascii="標楷體-繁" w:eastAsia="標楷體-繁" w:hAnsi="標楷體-繁"/>
          <w:color w:val="000000" w:themeColor="text1"/>
          <w:sz w:val="32"/>
          <w:szCs w:val="32"/>
        </w:rPr>
      </w:pPr>
      <w:r w:rsidRPr="006B79D7">
        <w:rPr>
          <w:rFonts w:ascii="標楷體-繁" w:eastAsia="標楷體-繁" w:hAnsi="標楷體-繁" w:hint="eastAsia"/>
          <w:color w:val="000000" w:themeColor="text1"/>
          <w:sz w:val="32"/>
          <w:szCs w:val="32"/>
        </w:rPr>
        <w:t>C. 新型裝置存取技術 .............................................................................. 15</w:t>
      </w:r>
    </w:p>
    <w:p w14:paraId="5D29E69E" w14:textId="77777777" w:rsidR="006B79D7" w:rsidRDefault="006B79D7">
      <w:pPr>
        <w:rPr>
          <w:rFonts w:ascii="標楷體-繁" w:eastAsia="標楷體-繁" w:hAnsi="標楷體-繁"/>
          <w:color w:val="000000" w:themeColor="text1"/>
        </w:rPr>
      </w:pPr>
      <w:r>
        <w:rPr>
          <w:rFonts w:ascii="標楷體-繁" w:eastAsia="標楷體-繁" w:hAnsi="標楷體-繁"/>
          <w:color w:val="000000" w:themeColor="text1"/>
        </w:rPr>
        <w:br w:type="page"/>
      </w:r>
    </w:p>
    <w:p w14:paraId="778845C2" w14:textId="77777777" w:rsidR="00091A37" w:rsidRPr="00091A37" w:rsidRDefault="00091A37" w:rsidP="00091A37">
      <w:pPr>
        <w:pStyle w:val="Compact"/>
        <w:jc w:val="center"/>
        <w:rPr>
          <w:rFonts w:ascii="標楷體-繁" w:eastAsia="標楷體-繁" w:hAnsi="標楷體-繁"/>
          <w:b/>
          <w:bCs/>
          <w:color w:val="000000" w:themeColor="text1"/>
        </w:rPr>
      </w:pPr>
      <w:r w:rsidRPr="00091A37">
        <w:rPr>
          <w:rFonts w:ascii="標楷體-繁" w:eastAsia="標楷體-繁" w:hAnsi="標楷體-繁" w:hint="eastAsia"/>
          <w:b/>
          <w:bCs/>
          <w:color w:val="000000" w:themeColor="text1"/>
        </w:rPr>
        <w:lastRenderedPageBreak/>
        <w:t>含非約束性建議</w:t>
      </w:r>
    </w:p>
    <w:p w14:paraId="450B8537" w14:textId="77777777" w:rsidR="004F77B7" w:rsidRDefault="004F77B7" w:rsidP="00091A37">
      <w:pPr>
        <w:pStyle w:val="Compact"/>
        <w:jc w:val="both"/>
        <w:rPr>
          <w:rFonts w:ascii="標楷體-繁" w:eastAsia="標楷體-繁" w:hAnsi="標楷體-繁"/>
          <w:color w:val="000000" w:themeColor="text1"/>
        </w:rPr>
      </w:pPr>
    </w:p>
    <w:p w14:paraId="6022A549" w14:textId="176A5DEF" w:rsidR="00091A37" w:rsidRPr="00091A37" w:rsidRDefault="00091A37" w:rsidP="00091A37">
      <w:pPr>
        <w:pStyle w:val="Compact"/>
        <w:jc w:val="both"/>
        <w:rPr>
          <w:rFonts w:ascii="標楷體-繁" w:eastAsia="標楷體-繁" w:hAnsi="標楷體-繁"/>
          <w:color w:val="000000" w:themeColor="text1"/>
        </w:rPr>
      </w:pPr>
      <w:r w:rsidRPr="00091A37">
        <w:rPr>
          <w:rFonts w:ascii="標楷體-繁" w:eastAsia="標楷體-繁" w:hAnsi="標楷體-繁" w:hint="eastAsia"/>
          <w:color w:val="000000" w:themeColor="text1"/>
        </w:rPr>
        <w:t>加味電子尼古丁傳遞系統（ENDS）上市前申請－與青少年風險相關之考量；產業指引草案</w:t>
      </w:r>
    </w:p>
    <w:p w14:paraId="25664298" w14:textId="05E0AD70" w:rsidR="00091A37" w:rsidRPr="00091A37" w:rsidRDefault="00091A37" w:rsidP="00091A37">
      <w:pPr>
        <w:pStyle w:val="Compact"/>
        <w:jc w:val="both"/>
        <w:rPr>
          <w:rFonts w:ascii="標楷體-繁" w:eastAsia="標楷體-繁" w:hAnsi="標楷體-繁"/>
          <w:color w:val="000000" w:themeColor="text1"/>
        </w:rPr>
      </w:pPr>
    </w:p>
    <w:tbl>
      <w:tblPr>
        <w:tblStyle w:val="af8"/>
        <w:tblW w:w="0" w:type="auto"/>
        <w:tblBorders>
          <w:top w:val="thinThickSmallGap" w:sz="24" w:space="0" w:color="auto"/>
          <w:left w:val="thinThickSmallGap" w:sz="24" w:space="0" w:color="auto"/>
          <w:bottom w:val="thickThinSmallGap" w:sz="24" w:space="0" w:color="auto"/>
          <w:right w:val="thickThinSmallGap" w:sz="24" w:space="0" w:color="auto"/>
          <w:insideH w:val="single" w:sz="6" w:space="0" w:color="auto"/>
          <w:insideV w:val="single" w:sz="6" w:space="0" w:color="auto"/>
        </w:tblBorders>
        <w:tblLook w:val="04A0" w:firstRow="1" w:lastRow="0" w:firstColumn="1" w:lastColumn="0" w:noHBand="0" w:noVBand="1"/>
      </w:tblPr>
      <w:tblGrid>
        <w:gridCol w:w="8696"/>
      </w:tblGrid>
      <w:tr w:rsidR="004F77B7" w14:paraId="348374BD" w14:textId="77777777" w:rsidTr="004F77B7">
        <w:tc>
          <w:tcPr>
            <w:tcW w:w="8696" w:type="dxa"/>
          </w:tcPr>
          <w:p w14:paraId="502848F3" w14:textId="31A492E0" w:rsidR="004F77B7" w:rsidRPr="004F77B7" w:rsidRDefault="004F77B7" w:rsidP="00091A37">
            <w:pPr>
              <w:pStyle w:val="Compact"/>
              <w:jc w:val="both"/>
              <w:rPr>
                <w:rFonts w:ascii="標楷體-繁" w:eastAsia="標楷體-繁" w:hAnsi="標楷體-繁"/>
                <w:color w:val="000000" w:themeColor="text1"/>
              </w:rPr>
            </w:pPr>
            <w:r w:rsidRPr="00091A37">
              <w:rPr>
                <w:rFonts w:ascii="標楷體-繁" w:eastAsia="標楷體-繁" w:hAnsi="標楷體-繁" w:hint="eastAsia"/>
                <w:color w:val="000000" w:themeColor="text1"/>
              </w:rPr>
              <w:t>本指引草案一經定稿，即代表食品藥物管理局（FDA 或本機關）對本主題之現行看法。其不為任何人建立任何權利，且對 FDA 或公眾均不具拘束力。若替代方法符合適用法規與法令之要求，您得採用替代方法。欲討論替代方法，請聯絡本指引首頁所列負責本指引之 FDA 人員。</w:t>
            </w:r>
          </w:p>
        </w:tc>
      </w:tr>
    </w:tbl>
    <w:p w14:paraId="5F1591C4" w14:textId="77777777" w:rsidR="00091A37" w:rsidRPr="00091A37" w:rsidRDefault="00091A37" w:rsidP="00091A37">
      <w:pPr>
        <w:pStyle w:val="Compact"/>
        <w:jc w:val="both"/>
        <w:rPr>
          <w:rFonts w:ascii="標楷體-繁" w:eastAsia="標楷體-繁" w:hAnsi="標楷體-繁"/>
          <w:color w:val="000000" w:themeColor="text1"/>
        </w:rPr>
      </w:pPr>
    </w:p>
    <w:p w14:paraId="025B1437" w14:textId="77777777" w:rsidR="00091A37" w:rsidRPr="00091A37" w:rsidRDefault="00091A37" w:rsidP="00091A37">
      <w:pPr>
        <w:pStyle w:val="Compact"/>
        <w:jc w:val="both"/>
        <w:rPr>
          <w:rFonts w:ascii="標楷體-繁" w:eastAsia="標楷體-繁" w:hAnsi="標楷體-繁"/>
          <w:color w:val="000000" w:themeColor="text1"/>
        </w:rPr>
      </w:pPr>
    </w:p>
    <w:p w14:paraId="7B2321BF" w14:textId="77777777" w:rsidR="00091A37" w:rsidRPr="00091A37" w:rsidRDefault="00091A37" w:rsidP="00091A37">
      <w:pPr>
        <w:pStyle w:val="Compact"/>
        <w:jc w:val="both"/>
        <w:rPr>
          <w:rFonts w:ascii="標楷體-繁" w:eastAsia="標楷體-繁" w:hAnsi="標楷體-繁"/>
          <w:color w:val="000000" w:themeColor="text1"/>
        </w:rPr>
      </w:pPr>
      <w:r w:rsidRPr="00091A37">
        <w:rPr>
          <w:rFonts w:ascii="標楷體-繁" w:eastAsia="標楷體-繁" w:hAnsi="標楷體-繁" w:hint="eastAsia"/>
          <w:color w:val="000000" w:themeColor="text1"/>
        </w:rPr>
        <w:t>I. 前言</w:t>
      </w:r>
    </w:p>
    <w:p w14:paraId="0DD29D32" w14:textId="77777777" w:rsidR="00091A37" w:rsidRPr="00091A37" w:rsidRDefault="00091A37" w:rsidP="00091A37">
      <w:pPr>
        <w:pStyle w:val="Compact"/>
        <w:jc w:val="both"/>
        <w:rPr>
          <w:rFonts w:ascii="標楷體-繁" w:eastAsia="標楷體-繁" w:hAnsi="標楷體-繁"/>
          <w:color w:val="000000" w:themeColor="text1"/>
        </w:rPr>
      </w:pPr>
    </w:p>
    <w:p w14:paraId="63E5347E" w14:textId="77777777" w:rsidR="00091A37" w:rsidRPr="00091A37" w:rsidRDefault="00091A37" w:rsidP="00091A37">
      <w:pPr>
        <w:pStyle w:val="Compact"/>
        <w:jc w:val="both"/>
        <w:rPr>
          <w:rFonts w:ascii="標楷體-繁" w:eastAsia="標楷體-繁" w:hAnsi="標楷體-繁"/>
          <w:color w:val="000000" w:themeColor="text1"/>
        </w:rPr>
      </w:pPr>
      <w:r w:rsidRPr="00091A37">
        <w:rPr>
          <w:rFonts w:ascii="標楷體-繁" w:eastAsia="標楷體-繁" w:hAnsi="標楷體-繁" w:hint="eastAsia"/>
          <w:color w:val="000000" w:themeColor="text1"/>
        </w:rPr>
        <w:t>本指引旨在協助依《聯邦食品、藥品與化妝品法》（FD&amp;C Act）第 910 條（21 U.S.C. 387j）為電子尼古丁傳遞系統（ENDS）提出菸草產品上市前申請（PMTAs）之人。本指引傳達 FDA 目前對此類申請之看法，以提升申請送件及審查之效率；然而，本指引中的建議不具拘束力。FDA 在審查 ENDS 的 PMTA 時，將依據 FD&amp;C Act 及其施行法規所產生之義務作成決定。FDA 預期，若本指引定稿，其實施經驗及對 PMTA 的審查，可能有助於未來之法規制定與指引發展。</w:t>
      </w:r>
    </w:p>
    <w:p w14:paraId="6B1BC1DA" w14:textId="77777777" w:rsidR="00091A37" w:rsidRPr="00091A37" w:rsidRDefault="00091A37" w:rsidP="00091A37">
      <w:pPr>
        <w:pStyle w:val="Compact"/>
        <w:jc w:val="both"/>
        <w:rPr>
          <w:rFonts w:ascii="標楷體-繁" w:eastAsia="標楷體-繁" w:hAnsi="標楷體-繁"/>
          <w:color w:val="000000" w:themeColor="text1"/>
        </w:rPr>
      </w:pPr>
    </w:p>
    <w:p w14:paraId="22E8C09B" w14:textId="7C357897" w:rsidR="00091A37" w:rsidRPr="00091A37" w:rsidRDefault="00091A37" w:rsidP="00091A37">
      <w:pPr>
        <w:pStyle w:val="Compact"/>
        <w:jc w:val="both"/>
        <w:rPr>
          <w:rFonts w:ascii="標楷體-繁" w:eastAsia="標楷體-繁" w:hAnsi="標楷體-繁"/>
          <w:color w:val="000000" w:themeColor="text1"/>
        </w:rPr>
      </w:pPr>
      <w:r w:rsidRPr="00091A37">
        <w:rPr>
          <w:rFonts w:ascii="標楷體-繁" w:eastAsia="標楷體-繁" w:hAnsi="標楷體-繁" w:hint="eastAsia"/>
          <w:color w:val="000000" w:themeColor="text1"/>
        </w:rPr>
        <w:t>FD&amp;C Act 第 910 條要求，</w:t>
      </w:r>
      <w:r w:rsidRPr="007D2224">
        <w:rPr>
          <w:rFonts w:ascii="標楷體-繁" w:eastAsia="標楷體-繁" w:hAnsi="標楷體-繁" w:hint="eastAsia"/>
          <w:color w:val="000000" w:themeColor="text1"/>
          <w:highlight w:val="cyan"/>
        </w:rPr>
        <w:t>產品若要獲得 PMTA 上市授權，FDA 除其他事項外，必須認定允許該產品上市將「適當保護公共衛生」（appropriate for the protection of the public health</w:t>
      </w:r>
      <w:r w:rsidR="007D2224">
        <w:rPr>
          <w:rFonts w:ascii="標楷體-繁" w:eastAsia="標楷體-繁" w:hAnsi="標楷體-繁"/>
          <w:color w:val="000000" w:themeColor="text1"/>
          <w:highlight w:val="cyan"/>
        </w:rPr>
        <w:t>, APPH</w:t>
      </w:r>
      <w:r w:rsidRPr="007D2224">
        <w:rPr>
          <w:rFonts w:ascii="標楷體-繁" w:eastAsia="標楷體-繁" w:hAnsi="標楷體-繁" w:hint="eastAsia"/>
          <w:color w:val="000000" w:themeColor="text1"/>
          <w:highlight w:val="cyan"/>
        </w:rPr>
        <w:t>）。</w:t>
      </w:r>
      <w:r w:rsidRPr="00091A37">
        <w:rPr>
          <w:rFonts w:ascii="標楷體-繁" w:eastAsia="標楷體-繁" w:hAnsi="標楷體-繁" w:hint="eastAsia"/>
          <w:color w:val="000000" w:themeColor="text1"/>
        </w:rPr>
        <w:t xml:space="preserve"> FDA 目前針對加味 ENDS 產品進行 PMTA 審查，以判定其是否「適當保護公共衛生」（APPH）之方法，包括評估該新產品相關之一切相關證據與情況，衡量其對整體人口之風險與利益。欲證明 ENDS 之上市符合 APPH，申請人必須證明，其效益（包括對使用可燃式香菸之成年人之效益）大於其風險（包括對青少年之風險），從而對公共衛生產生淨效益。3 隨著產品已知風險之增加或降低，申請人所須建立之效益程度亦相應增加或降低。</w:t>
      </w:r>
    </w:p>
    <w:p w14:paraId="5631D040" w14:textId="382A2A3C" w:rsidR="00091A37" w:rsidRDefault="00091A37" w:rsidP="00091A37">
      <w:pPr>
        <w:pStyle w:val="Compact"/>
        <w:jc w:val="both"/>
        <w:rPr>
          <w:rFonts w:ascii="標楷體-繁" w:eastAsia="標楷體-繁" w:hAnsi="標楷體-繁"/>
          <w:color w:val="000000" w:themeColor="text1"/>
        </w:rPr>
      </w:pPr>
    </w:p>
    <w:p w14:paraId="3667780F" w14:textId="505FB777" w:rsidR="004F77B7" w:rsidRDefault="004F77B7" w:rsidP="00091A37">
      <w:pPr>
        <w:pStyle w:val="Compact"/>
        <w:jc w:val="both"/>
        <w:rPr>
          <w:rFonts w:ascii="標楷體-繁" w:eastAsia="標楷體-繁" w:hAnsi="標楷體-繁"/>
          <w:color w:val="000000" w:themeColor="text1"/>
        </w:rPr>
      </w:pPr>
    </w:p>
    <w:p w14:paraId="030E26A0" w14:textId="77777777" w:rsidR="004F77B7" w:rsidRDefault="004F77B7" w:rsidP="00091A37">
      <w:pPr>
        <w:pStyle w:val="Compact"/>
        <w:jc w:val="both"/>
        <w:rPr>
          <w:rFonts w:ascii="標楷體-繁" w:eastAsia="標楷體-繁" w:hAnsi="標楷體-繁"/>
          <w:color w:val="000000" w:themeColor="text1"/>
        </w:rPr>
      </w:pPr>
    </w:p>
    <w:p w14:paraId="7BB5D20E" w14:textId="09485D26" w:rsidR="004F77B7" w:rsidRPr="00C47326" w:rsidRDefault="004F77B7" w:rsidP="00091A37">
      <w:pPr>
        <w:pStyle w:val="Compact"/>
        <w:jc w:val="both"/>
        <w:rPr>
          <w:rFonts w:ascii="標楷體-繁" w:eastAsia="標楷體-繁" w:hAnsi="標楷體-繁"/>
          <w:color w:val="000000" w:themeColor="text1"/>
          <w:sz w:val="21"/>
          <w:szCs w:val="21"/>
        </w:rPr>
      </w:pPr>
      <w:r w:rsidRPr="00C47326">
        <w:rPr>
          <w:rFonts w:ascii="標楷體-繁" w:eastAsia="標楷體-繁" w:hAnsi="標楷體-繁" w:hint="eastAsia"/>
          <w:color w:val="000000" w:themeColor="text1"/>
          <w:sz w:val="21"/>
          <w:szCs w:val="21"/>
        </w:rPr>
        <w:t>1 本指引由 FDA 菸品中心編製。</w:t>
      </w:r>
    </w:p>
    <w:p w14:paraId="500F0E33" w14:textId="77777777" w:rsidR="00091A37" w:rsidRPr="00C47326" w:rsidRDefault="00091A37" w:rsidP="00091A37">
      <w:pPr>
        <w:pStyle w:val="Compact"/>
        <w:jc w:val="both"/>
        <w:rPr>
          <w:rFonts w:ascii="標楷體-繁" w:eastAsia="標楷體-繁" w:hAnsi="標楷體-繁"/>
          <w:color w:val="000000" w:themeColor="text1"/>
          <w:sz w:val="21"/>
          <w:szCs w:val="21"/>
        </w:rPr>
      </w:pPr>
      <w:r w:rsidRPr="00C47326">
        <w:rPr>
          <w:rFonts w:ascii="標楷體-繁" w:eastAsia="標楷體-繁" w:hAnsi="標楷體-繁" w:hint="eastAsia"/>
          <w:color w:val="000000" w:themeColor="text1"/>
          <w:sz w:val="21"/>
          <w:szCs w:val="21"/>
        </w:rPr>
        <w:t>2 21 U.S.C. 387j(c)(2)(A)。</w:t>
      </w:r>
    </w:p>
    <w:p w14:paraId="6CA0AA65" w14:textId="77777777" w:rsidR="00091A37" w:rsidRPr="00C47326" w:rsidRDefault="00091A37" w:rsidP="00091A37">
      <w:pPr>
        <w:pStyle w:val="Compact"/>
        <w:jc w:val="both"/>
        <w:rPr>
          <w:rFonts w:ascii="標楷體-繁" w:eastAsia="標楷體-繁" w:hAnsi="標楷體-繁"/>
          <w:color w:val="000000" w:themeColor="text1"/>
          <w:sz w:val="21"/>
          <w:szCs w:val="21"/>
        </w:rPr>
      </w:pPr>
      <w:r w:rsidRPr="00C47326">
        <w:rPr>
          <w:rFonts w:ascii="標楷體-繁" w:eastAsia="標楷體-繁" w:hAnsi="標楷體-繁" w:hint="eastAsia"/>
          <w:color w:val="000000" w:themeColor="text1"/>
          <w:sz w:val="21"/>
          <w:szCs w:val="21"/>
        </w:rPr>
        <w:t>3 例如，參見 Juul 產品 PMTA 之技術專案主管（TPL）審查，網址：</w:t>
      </w:r>
    </w:p>
    <w:p w14:paraId="4A2E6492" w14:textId="629384EF" w:rsidR="00091A37" w:rsidRPr="00C47326" w:rsidRDefault="00091A37" w:rsidP="006B79D7">
      <w:pPr>
        <w:pStyle w:val="Compact"/>
        <w:jc w:val="both"/>
        <w:rPr>
          <w:rFonts w:ascii="標楷體-繁" w:eastAsia="標楷體-繁" w:hAnsi="標楷體-繁"/>
          <w:color w:val="000000" w:themeColor="text1"/>
          <w:sz w:val="21"/>
          <w:szCs w:val="21"/>
        </w:rPr>
      </w:pPr>
      <w:r w:rsidRPr="00C47326">
        <w:rPr>
          <w:rFonts w:ascii="標楷體-繁" w:eastAsia="標楷體-繁" w:hAnsi="標楷體-繁"/>
          <w:color w:val="000000" w:themeColor="text1"/>
          <w:sz w:val="21"/>
          <w:szCs w:val="21"/>
        </w:rPr>
        <w:t>https://www.accessdata.fda.gov/static/searchtobacco/7-10-25/Juul-TPL-Rev-Multiple-STNs.pdf</w:t>
      </w:r>
    </w:p>
    <w:p w14:paraId="2826C269" w14:textId="77777777" w:rsidR="00091A37" w:rsidRDefault="00091A37">
      <w:pPr>
        <w:rPr>
          <w:rFonts w:ascii="標楷體-繁" w:eastAsia="標楷體-繁" w:hAnsi="標楷體-繁"/>
          <w:color w:val="000000" w:themeColor="text1"/>
        </w:rPr>
      </w:pPr>
      <w:r>
        <w:rPr>
          <w:rFonts w:ascii="標楷體-繁" w:eastAsia="標楷體-繁" w:hAnsi="標楷體-繁"/>
          <w:color w:val="000000" w:themeColor="text1"/>
        </w:rPr>
        <w:br w:type="page"/>
      </w:r>
    </w:p>
    <w:p w14:paraId="16646F46" w14:textId="0F9FF42F" w:rsidR="004F77B7" w:rsidRPr="004F77B7" w:rsidRDefault="004F77B7" w:rsidP="004F77B7">
      <w:pPr>
        <w:pStyle w:val="Compact"/>
        <w:jc w:val="center"/>
        <w:rPr>
          <w:rFonts w:ascii="標楷體-繁" w:eastAsia="標楷體-繁" w:hAnsi="標楷體-繁"/>
          <w:b/>
          <w:bCs/>
          <w:color w:val="000000" w:themeColor="text1"/>
        </w:rPr>
      </w:pPr>
      <w:r w:rsidRPr="004F77B7">
        <w:rPr>
          <w:rFonts w:ascii="標楷體-繁" w:eastAsia="標楷體-繁" w:hAnsi="標楷體-繁" w:hint="eastAsia"/>
          <w:b/>
          <w:bCs/>
          <w:color w:val="000000" w:themeColor="text1"/>
        </w:rPr>
        <w:lastRenderedPageBreak/>
        <w:t>含非約束性建議</w:t>
      </w:r>
    </w:p>
    <w:p w14:paraId="48824B47" w14:textId="77777777" w:rsidR="00B51A46" w:rsidRDefault="00B51A46" w:rsidP="004F77B7">
      <w:pPr>
        <w:pStyle w:val="Compact"/>
        <w:jc w:val="both"/>
        <w:rPr>
          <w:rFonts w:ascii="標楷體-繁" w:eastAsia="標楷體-繁" w:hAnsi="標楷體-繁"/>
          <w:color w:val="000000" w:themeColor="text1"/>
        </w:rPr>
      </w:pPr>
    </w:p>
    <w:p w14:paraId="73C2FC53" w14:textId="56C46C79" w:rsidR="004F77B7" w:rsidRPr="004F77B7" w:rsidRDefault="004F77B7" w:rsidP="004F77B7">
      <w:pPr>
        <w:pStyle w:val="Compact"/>
        <w:jc w:val="both"/>
        <w:rPr>
          <w:rFonts w:ascii="標楷體-繁" w:eastAsia="標楷體-繁" w:hAnsi="標楷體-繁"/>
          <w:color w:val="000000" w:themeColor="text1"/>
        </w:rPr>
      </w:pPr>
      <w:r w:rsidRPr="004F77B7">
        <w:rPr>
          <w:rFonts w:ascii="標楷體-繁" w:eastAsia="標楷體-繁" w:hAnsi="標楷體-繁" w:hint="eastAsia"/>
          <w:color w:val="000000" w:themeColor="text1"/>
        </w:rPr>
        <w:t>FDA 在監管 ENDS 方面已累積相當經驗，並已認定現有證據顯示，加味 ENDS 產品對青少年構成重大風險，且其對青少年之風險高於菸草味 ENDS。除其他事項外，現有文獻指出，風味會促進青少年起始使用，並促成已建立之規律性 ENDS 使用。雖然加味 ENDS 可能在促使成年吸菸者完全轉換，或顯著減少其可燃式香菸使用方面帶來公共衛生利益，但菸草味 ENDS 亦可能提供相同之公共衛生利益。鑑於加味 ENDS 產品相較於菸草味 ENDS 已知且重大的青少年起始使用與使用風險，4 因此，欲上市加味 ENDS 產品之申請人，須證明其產品相較於菸草味 ENDS 提供額外利益，方能確立其對使用可燃式香菸之成年人之可能利益大於對青少年所增加之風險。這是 FDA 長期以來在審查加味 ENDS 產品 PMTA 時所採行之方法，且最高法院已在 FDA v. Wages and White Lion 一案中審酌並確認此方法。5 依據該方法，FDA 會審查加味 ENDS 申請中是否包含可證明其相較於菸草味 ENDS 具有額外利益之研究類型。此方法維持不變，且不受本指引影響。</w:t>
      </w:r>
    </w:p>
    <w:p w14:paraId="1A56ECEC" w14:textId="208D982B" w:rsidR="004F77B7" w:rsidRDefault="004F77B7" w:rsidP="004F77B7">
      <w:pPr>
        <w:pStyle w:val="Compact"/>
        <w:jc w:val="both"/>
        <w:rPr>
          <w:rFonts w:ascii="標楷體-繁" w:eastAsia="標楷體-繁" w:hAnsi="標楷體-繁"/>
          <w:color w:val="000000" w:themeColor="text1"/>
        </w:rPr>
      </w:pPr>
    </w:p>
    <w:p w14:paraId="73136ABB" w14:textId="2BF92902" w:rsidR="00B51A46" w:rsidRDefault="00B51A46" w:rsidP="004F77B7">
      <w:pPr>
        <w:pStyle w:val="Compact"/>
        <w:jc w:val="both"/>
        <w:rPr>
          <w:rFonts w:ascii="標楷體-繁" w:eastAsia="標楷體-繁" w:hAnsi="標楷體-繁"/>
          <w:color w:val="000000" w:themeColor="text1"/>
        </w:rPr>
      </w:pPr>
      <w:r w:rsidRPr="00B51A46">
        <w:rPr>
          <w:rFonts w:ascii="標楷體-繁" w:eastAsia="標楷體-繁" w:hAnsi="標楷體-繁" w:hint="eastAsia"/>
          <w:color w:val="000000" w:themeColor="text1"/>
        </w:rPr>
        <w:t>本指引所處理者，是在審查加味 ENDS 產品 PMTA 時所產生之後續問題——亦即，</w:t>
      </w:r>
      <w:r w:rsidRPr="00AC28BF">
        <w:rPr>
          <w:rFonts w:ascii="標楷體-繁" w:eastAsia="標楷體-繁" w:hAnsi="標楷體-繁" w:hint="eastAsia"/>
          <w:color w:val="000000" w:themeColor="text1"/>
          <w:highlight w:val="cyan"/>
        </w:rPr>
        <w:t>申請人須透過適當研究證明，其加味 ENDS 相較於菸草味 ENDS 具有多少額外利益，方可被認定為符合 APPH。</w:t>
      </w:r>
      <w:r w:rsidRPr="00B51A46">
        <w:rPr>
          <w:rFonts w:ascii="標楷體-繁" w:eastAsia="標楷體-繁" w:hAnsi="標楷體-繁" w:hint="eastAsia"/>
          <w:color w:val="000000" w:themeColor="text1"/>
        </w:rPr>
        <w:t>誠如本指引所述，須證明之利益程度將取決於產品風險，且會因不同風味而異。為了證明具有淨公共衛生效益，對青少年起始使用與使用風險較高之風味 ENDS，須證明其利益高於對青少年吸引力較低之風味 ENDS。鑑於對美國青少年而言，對青少年吸引力較高之加味 ENDS 產品（例如水果與糖果／甜點／其他甜味）所造成之重大公共衛生風險，此類產品須承擔相對應之高度舉證負擔，以證明其對成年吸菸者在戒菸或顯著減少香菸使用方面之利益，大於青少年起始使用與使用之風險。</w:t>
      </w:r>
    </w:p>
    <w:p w14:paraId="10A6F311" w14:textId="60DAF654" w:rsidR="00B51A46" w:rsidRDefault="00B51A46" w:rsidP="004F77B7">
      <w:pPr>
        <w:pStyle w:val="Compact"/>
        <w:jc w:val="both"/>
        <w:rPr>
          <w:rFonts w:ascii="標楷體-繁" w:eastAsia="標楷體-繁" w:hAnsi="標楷體-繁"/>
          <w:color w:val="000000" w:themeColor="text1"/>
        </w:rPr>
      </w:pPr>
    </w:p>
    <w:p w14:paraId="4B28CF08" w14:textId="779B4091" w:rsidR="00C47326" w:rsidRDefault="00C47326" w:rsidP="004F77B7">
      <w:pPr>
        <w:pStyle w:val="Compact"/>
        <w:jc w:val="both"/>
        <w:rPr>
          <w:rFonts w:ascii="標楷體-繁" w:eastAsia="標楷體-繁" w:hAnsi="標楷體-繁"/>
          <w:color w:val="000000" w:themeColor="text1"/>
        </w:rPr>
      </w:pPr>
    </w:p>
    <w:p w14:paraId="1A08F2A3" w14:textId="645129B6" w:rsidR="00C47326" w:rsidRDefault="00C47326" w:rsidP="004F77B7">
      <w:pPr>
        <w:pStyle w:val="Compact"/>
        <w:jc w:val="both"/>
        <w:rPr>
          <w:rFonts w:ascii="標楷體-繁" w:eastAsia="標楷體-繁" w:hAnsi="標楷體-繁"/>
          <w:color w:val="000000" w:themeColor="text1"/>
        </w:rPr>
      </w:pPr>
    </w:p>
    <w:p w14:paraId="18BA046F" w14:textId="3348DD95" w:rsidR="00C47326" w:rsidRDefault="00C47326" w:rsidP="004F77B7">
      <w:pPr>
        <w:pStyle w:val="Compact"/>
        <w:jc w:val="both"/>
        <w:rPr>
          <w:rFonts w:ascii="標楷體-繁" w:eastAsia="標楷體-繁" w:hAnsi="標楷體-繁"/>
          <w:color w:val="000000" w:themeColor="text1"/>
        </w:rPr>
      </w:pPr>
    </w:p>
    <w:p w14:paraId="0D696D02" w14:textId="20878AF8" w:rsidR="00C47326" w:rsidRDefault="00C47326" w:rsidP="004F77B7">
      <w:pPr>
        <w:pStyle w:val="Compact"/>
        <w:jc w:val="both"/>
        <w:rPr>
          <w:rFonts w:ascii="標楷體-繁" w:eastAsia="標楷體-繁" w:hAnsi="標楷體-繁"/>
          <w:color w:val="000000" w:themeColor="text1"/>
        </w:rPr>
      </w:pPr>
    </w:p>
    <w:p w14:paraId="2BBC5317" w14:textId="77777777" w:rsidR="00C47326" w:rsidRPr="004F77B7" w:rsidRDefault="00C47326" w:rsidP="004F77B7">
      <w:pPr>
        <w:pStyle w:val="Compact"/>
        <w:jc w:val="both"/>
        <w:rPr>
          <w:rFonts w:ascii="標楷體-繁" w:eastAsia="標楷體-繁" w:hAnsi="標楷體-繁"/>
          <w:color w:val="000000" w:themeColor="text1"/>
        </w:rPr>
      </w:pPr>
    </w:p>
    <w:p w14:paraId="67A096F4" w14:textId="6FC795A2" w:rsidR="00091A37" w:rsidRPr="00C47326" w:rsidRDefault="004F77B7" w:rsidP="004F77B7">
      <w:pPr>
        <w:pStyle w:val="Compact"/>
        <w:rPr>
          <w:rFonts w:ascii="標楷體-繁" w:eastAsia="標楷體-繁" w:hAnsi="標楷體-繁"/>
          <w:color w:val="000000" w:themeColor="text1"/>
          <w:sz w:val="21"/>
          <w:szCs w:val="21"/>
        </w:rPr>
      </w:pPr>
      <w:r w:rsidRPr="00C47326">
        <w:rPr>
          <w:rFonts w:ascii="標楷體-繁" w:eastAsia="標楷體-繁" w:hAnsi="標楷體-繁" w:hint="eastAsia"/>
          <w:color w:val="000000" w:themeColor="text1"/>
          <w:sz w:val="21"/>
          <w:szCs w:val="21"/>
        </w:rPr>
        <w:t xml:space="preserve">4 Park-Lee E, Jamal A, Cowan H, et al. Notes from the Field: E-Cigarette and Nicotine Pouch Use Among Middle and High School Students — United States, 2024. MMWR </w:t>
      </w:r>
      <w:proofErr w:type="spellStart"/>
      <w:r w:rsidRPr="00C47326">
        <w:rPr>
          <w:rFonts w:ascii="標楷體-繁" w:eastAsia="標楷體-繁" w:hAnsi="標楷體-繁" w:hint="eastAsia"/>
          <w:color w:val="000000" w:themeColor="text1"/>
          <w:sz w:val="21"/>
          <w:szCs w:val="21"/>
        </w:rPr>
        <w:t>Morb</w:t>
      </w:r>
      <w:proofErr w:type="spellEnd"/>
      <w:r w:rsidRPr="00C47326">
        <w:rPr>
          <w:rFonts w:ascii="標楷體-繁" w:eastAsia="標楷體-繁" w:hAnsi="標楷體-繁" w:hint="eastAsia"/>
          <w:color w:val="000000" w:themeColor="text1"/>
          <w:sz w:val="21"/>
          <w:szCs w:val="21"/>
        </w:rPr>
        <w:t xml:space="preserve"> Mortal </w:t>
      </w:r>
      <w:proofErr w:type="spellStart"/>
      <w:r w:rsidRPr="00C47326">
        <w:rPr>
          <w:rFonts w:ascii="標楷體-繁" w:eastAsia="標楷體-繁" w:hAnsi="標楷體-繁" w:hint="eastAsia"/>
          <w:color w:val="000000" w:themeColor="text1"/>
          <w:sz w:val="21"/>
          <w:szCs w:val="21"/>
        </w:rPr>
        <w:t>Wkly</w:t>
      </w:r>
      <w:proofErr w:type="spellEnd"/>
      <w:r w:rsidRPr="00C47326">
        <w:rPr>
          <w:rFonts w:ascii="標楷體-繁" w:eastAsia="標楷體-繁" w:hAnsi="標楷體-繁" w:hint="eastAsia"/>
          <w:color w:val="000000" w:themeColor="text1"/>
          <w:sz w:val="21"/>
          <w:szCs w:val="21"/>
        </w:rPr>
        <w:t xml:space="preserve"> Rep 2024;73:774–778. 網址：http://dx.doi.org/10.15585/mmwr.mm7335a3；</w:t>
      </w:r>
      <w:proofErr w:type="spellStart"/>
      <w:r w:rsidRPr="00C47326">
        <w:rPr>
          <w:rFonts w:ascii="標楷體-繁" w:eastAsia="標楷體-繁" w:hAnsi="標楷體-繁" w:hint="eastAsia"/>
          <w:color w:val="000000" w:themeColor="text1"/>
          <w:sz w:val="21"/>
          <w:szCs w:val="21"/>
        </w:rPr>
        <w:t>Rostron</w:t>
      </w:r>
      <w:proofErr w:type="spellEnd"/>
      <w:r w:rsidRPr="00C47326">
        <w:rPr>
          <w:rFonts w:ascii="標楷體-繁" w:eastAsia="標楷體-繁" w:hAnsi="標楷體-繁" w:hint="eastAsia"/>
          <w:color w:val="000000" w:themeColor="text1"/>
          <w:sz w:val="21"/>
          <w:szCs w:val="21"/>
        </w:rPr>
        <w:t xml:space="preserve"> BL, Cheng YC, Gardner LD, Ambrose BK. Prevalence and reasons for use of flavored cigars and ENDS among US youth and adults: Estimates from Wave 4 of the PATH Study, 2016-2017. Am. J. Health </w:t>
      </w:r>
      <w:proofErr w:type="spellStart"/>
      <w:r w:rsidRPr="00C47326">
        <w:rPr>
          <w:rFonts w:ascii="標楷體-繁" w:eastAsia="標楷體-繁" w:hAnsi="標楷體-繁" w:hint="eastAsia"/>
          <w:color w:val="000000" w:themeColor="text1"/>
          <w:sz w:val="21"/>
          <w:szCs w:val="21"/>
        </w:rPr>
        <w:t>Behav</w:t>
      </w:r>
      <w:proofErr w:type="spellEnd"/>
      <w:r w:rsidRPr="00C47326">
        <w:rPr>
          <w:rFonts w:ascii="標楷體-繁" w:eastAsia="標楷體-繁" w:hAnsi="標楷體-繁" w:hint="eastAsia"/>
          <w:color w:val="000000" w:themeColor="text1"/>
          <w:sz w:val="21"/>
          <w:szCs w:val="21"/>
        </w:rPr>
        <w:t>. Jan 1 2020;44(1):76-81. 網址：</w:t>
      </w:r>
      <w:r w:rsidR="00B51A46" w:rsidRPr="00C47326">
        <w:rPr>
          <w:rFonts w:ascii="標楷體-繁" w:eastAsia="標楷體-繁" w:hAnsi="標楷體-繁"/>
          <w:color w:val="000000" w:themeColor="text1"/>
          <w:sz w:val="21"/>
          <w:szCs w:val="21"/>
        </w:rPr>
        <w:fldChar w:fldCharType="begin"/>
      </w:r>
      <w:r w:rsidR="00B51A46" w:rsidRPr="00C47326">
        <w:rPr>
          <w:rFonts w:ascii="標楷體-繁" w:eastAsia="標楷體-繁" w:hAnsi="標楷體-繁"/>
          <w:color w:val="000000" w:themeColor="text1"/>
          <w:sz w:val="21"/>
          <w:szCs w:val="21"/>
        </w:rPr>
        <w:instrText xml:space="preserve"> </w:instrText>
      </w:r>
      <w:r w:rsidR="00B51A46" w:rsidRPr="00C47326">
        <w:rPr>
          <w:rFonts w:ascii="標楷體-繁" w:eastAsia="標楷體-繁" w:hAnsi="標楷體-繁" w:hint="eastAsia"/>
          <w:color w:val="000000" w:themeColor="text1"/>
          <w:sz w:val="21"/>
          <w:szCs w:val="21"/>
        </w:rPr>
        <w:instrText>HYPERLINK "https://doi.org/10.5993/AJHB.44.1.8"</w:instrText>
      </w:r>
      <w:r w:rsidR="00B51A46" w:rsidRPr="00C47326">
        <w:rPr>
          <w:rFonts w:ascii="標楷體-繁" w:eastAsia="標楷體-繁" w:hAnsi="標楷體-繁"/>
          <w:color w:val="000000" w:themeColor="text1"/>
          <w:sz w:val="21"/>
          <w:szCs w:val="21"/>
        </w:rPr>
        <w:instrText xml:space="preserve"> </w:instrText>
      </w:r>
      <w:r w:rsidR="00B51A46" w:rsidRPr="00C47326">
        <w:rPr>
          <w:rFonts w:ascii="標楷體-繁" w:eastAsia="標楷體-繁" w:hAnsi="標楷體-繁"/>
          <w:color w:val="000000" w:themeColor="text1"/>
          <w:sz w:val="21"/>
          <w:szCs w:val="21"/>
        </w:rPr>
        <w:fldChar w:fldCharType="separate"/>
      </w:r>
      <w:r w:rsidR="00B51A46" w:rsidRPr="00C47326">
        <w:rPr>
          <w:rStyle w:val="af"/>
          <w:rFonts w:ascii="標楷體-繁" w:eastAsia="標楷體-繁" w:hAnsi="標楷體-繁" w:hint="eastAsia"/>
          <w:sz w:val="21"/>
          <w:szCs w:val="21"/>
        </w:rPr>
        <w:t>https://doi.org/10.5993/AJHB.44.1.8</w:t>
      </w:r>
      <w:r w:rsidR="00B51A46" w:rsidRPr="00C47326">
        <w:rPr>
          <w:rFonts w:ascii="標楷體-繁" w:eastAsia="標楷體-繁" w:hAnsi="標楷體-繁"/>
          <w:color w:val="000000" w:themeColor="text1"/>
          <w:sz w:val="21"/>
          <w:szCs w:val="21"/>
        </w:rPr>
        <w:fldChar w:fldCharType="end"/>
      </w:r>
      <w:r w:rsidRPr="00C47326">
        <w:rPr>
          <w:rFonts w:ascii="標楷體-繁" w:eastAsia="標楷體-繁" w:hAnsi="標楷體-繁" w:hint="eastAsia"/>
          <w:color w:val="000000" w:themeColor="text1"/>
          <w:sz w:val="21"/>
          <w:szCs w:val="21"/>
        </w:rPr>
        <w:t>。</w:t>
      </w:r>
    </w:p>
    <w:p w14:paraId="35681A63" w14:textId="160C392A" w:rsidR="00B51A46" w:rsidRPr="00C47326" w:rsidRDefault="00B51A46" w:rsidP="004F77B7">
      <w:pPr>
        <w:pStyle w:val="Compact"/>
        <w:rPr>
          <w:rFonts w:ascii="標楷體-繁" w:eastAsia="標楷體-繁" w:hAnsi="標楷體-繁"/>
          <w:color w:val="000000" w:themeColor="text1"/>
          <w:sz w:val="21"/>
          <w:szCs w:val="21"/>
        </w:rPr>
      </w:pPr>
      <w:r w:rsidRPr="00C47326">
        <w:rPr>
          <w:rFonts w:ascii="標楷體-繁" w:eastAsia="標楷體-繁" w:hAnsi="標楷體-繁" w:hint="eastAsia"/>
          <w:color w:val="000000" w:themeColor="text1"/>
          <w:sz w:val="21"/>
          <w:szCs w:val="21"/>
        </w:rPr>
        <w:t xml:space="preserve">5 見 FDA v. Wages &amp; White Lion </w:t>
      </w:r>
      <w:proofErr w:type="spellStart"/>
      <w:r w:rsidRPr="00C47326">
        <w:rPr>
          <w:rFonts w:ascii="標楷體-繁" w:eastAsia="標楷體-繁" w:hAnsi="標楷體-繁" w:hint="eastAsia"/>
          <w:color w:val="000000" w:themeColor="text1"/>
          <w:sz w:val="21"/>
          <w:szCs w:val="21"/>
        </w:rPr>
        <w:t>Invs</w:t>
      </w:r>
      <w:proofErr w:type="spellEnd"/>
      <w:r w:rsidRPr="00C47326">
        <w:rPr>
          <w:rFonts w:ascii="標楷體-繁" w:eastAsia="標楷體-繁" w:hAnsi="標楷體-繁" w:hint="eastAsia"/>
          <w:color w:val="000000" w:themeColor="text1"/>
          <w:sz w:val="21"/>
          <w:szCs w:val="21"/>
        </w:rPr>
        <w:t>., 604 U.S. 542 (</w:t>
      </w:r>
      <w:proofErr w:type="gramStart"/>
      <w:r w:rsidRPr="00C47326">
        <w:rPr>
          <w:rFonts w:ascii="標楷體-繁" w:eastAsia="標楷體-繁" w:hAnsi="標楷體-繁" w:hint="eastAsia"/>
          <w:color w:val="000000" w:themeColor="text1"/>
          <w:sz w:val="21"/>
          <w:szCs w:val="21"/>
        </w:rPr>
        <w:t>2025)（</w:t>
      </w:r>
      <w:proofErr w:type="gramEnd"/>
      <w:r w:rsidRPr="00C47326">
        <w:rPr>
          <w:rFonts w:ascii="標楷體-繁" w:eastAsia="標楷體-繁" w:hAnsi="標楷體-繁" w:hint="eastAsia"/>
          <w:color w:val="000000" w:themeColor="text1"/>
          <w:sz w:val="21"/>
          <w:szCs w:val="21"/>
        </w:rPr>
        <w:t>認定 FDA 拒絕核准加味 ENDS 上市之決定，與 APPH 標準、本機關關於支持菸草產品上市前申請所需科學證據之指引，以及將擬議產品與其他產品進行比較之需求，均具有足夠一致性）。</w:t>
      </w:r>
    </w:p>
    <w:p w14:paraId="77DC484F" w14:textId="77777777" w:rsidR="00091A37" w:rsidRDefault="00091A37">
      <w:pPr>
        <w:rPr>
          <w:rFonts w:ascii="標楷體-繁" w:eastAsia="標楷體-繁" w:hAnsi="標楷體-繁"/>
          <w:color w:val="000000" w:themeColor="text1"/>
        </w:rPr>
      </w:pPr>
      <w:r>
        <w:rPr>
          <w:rFonts w:ascii="標楷體-繁" w:eastAsia="標楷體-繁" w:hAnsi="標楷體-繁"/>
          <w:color w:val="000000" w:themeColor="text1"/>
        </w:rPr>
        <w:br w:type="page"/>
      </w:r>
    </w:p>
    <w:p w14:paraId="69B4D11B" w14:textId="77777777" w:rsidR="00B51A46" w:rsidRPr="00B51A46" w:rsidRDefault="00B51A46" w:rsidP="00B51A46">
      <w:pPr>
        <w:pStyle w:val="Compact"/>
        <w:jc w:val="both"/>
        <w:rPr>
          <w:rFonts w:ascii="標楷體-繁" w:eastAsia="標楷體-繁" w:hAnsi="標楷體-繁"/>
          <w:color w:val="000000" w:themeColor="text1"/>
        </w:rPr>
      </w:pPr>
      <w:r w:rsidRPr="00AC28BF">
        <w:rPr>
          <w:rFonts w:ascii="標楷體-繁" w:eastAsia="標楷體-繁" w:hAnsi="標楷體-繁" w:hint="eastAsia"/>
          <w:color w:val="000000" w:themeColor="text1"/>
          <w:highlight w:val="cyan"/>
        </w:rPr>
        <w:lastRenderedPageBreak/>
        <w:t>FDA 認知到，在某些情況下，非菸草味 ENDS 產品可能為使用可燃式香菸之成年人提供利益，包括促進其遠離可燃式菸品、增加戒菸嘗試、支持持續戒菸，以及減少那些否則仍會持續吸菸之成年人之香菸消耗量。</w:t>
      </w:r>
      <w:r w:rsidRPr="00B51A46">
        <w:rPr>
          <w:rFonts w:ascii="標楷體-繁" w:eastAsia="標楷體-繁" w:hAnsi="標楷體-繁" w:hint="eastAsia"/>
          <w:color w:val="000000" w:themeColor="text1"/>
        </w:rPr>
        <w:t>新興證據顯示，許多使用 ENDS 產品來過渡離開可燃式香菸之成年吸菸者表示偏好非菸草風味，但某一加味產品究竟能提供何種、或多少利益，部分取決於特定產品之特性如何影響使用者。6 FDA 將審查申請人所提交有關該產品促進成年人轉換與戒菸能力之資訊，以及其他相關資訊。</w:t>
      </w:r>
      <w:r w:rsidRPr="00AC28BF">
        <w:rPr>
          <w:rFonts w:ascii="標楷體-繁" w:eastAsia="標楷體-繁" w:hAnsi="標楷體-繁" w:hint="eastAsia"/>
          <w:color w:val="000000" w:themeColor="text1"/>
          <w:highlight w:val="cyan"/>
        </w:rPr>
        <w:t>FDA 仍致力於支持可能較低危害之替代產品之開發，供使用可燃式香菸之成年人選擇，同時確保核准上市之產品符合 APPH 標準，並在產品生命週期內維持適當監督，以保護青少年及其他脆弱族群。</w:t>
      </w:r>
    </w:p>
    <w:p w14:paraId="58C6D99D" w14:textId="72CC7630" w:rsidR="00B51A46" w:rsidRDefault="00B51A46" w:rsidP="00B51A46">
      <w:pPr>
        <w:pStyle w:val="Compact"/>
        <w:jc w:val="both"/>
        <w:rPr>
          <w:rFonts w:ascii="標楷體-繁" w:eastAsia="標楷體-繁" w:hAnsi="標楷體-繁"/>
          <w:color w:val="000000" w:themeColor="text1"/>
        </w:rPr>
      </w:pPr>
    </w:p>
    <w:p w14:paraId="28DF11AA" w14:textId="10B574E9" w:rsidR="00C47326" w:rsidRDefault="00C47326" w:rsidP="00B51A46">
      <w:pPr>
        <w:pStyle w:val="Compact"/>
        <w:jc w:val="both"/>
        <w:rPr>
          <w:rFonts w:ascii="標楷體-繁" w:eastAsia="標楷體-繁" w:hAnsi="標楷體-繁"/>
          <w:color w:val="000000" w:themeColor="text1"/>
        </w:rPr>
      </w:pPr>
    </w:p>
    <w:p w14:paraId="1C52D36E" w14:textId="3085F310" w:rsidR="00C47326" w:rsidRDefault="00C47326" w:rsidP="00B51A46">
      <w:pPr>
        <w:pStyle w:val="Compact"/>
        <w:jc w:val="both"/>
        <w:rPr>
          <w:rFonts w:ascii="標楷體-繁" w:eastAsia="標楷體-繁" w:hAnsi="標楷體-繁"/>
          <w:color w:val="000000" w:themeColor="text1"/>
        </w:rPr>
      </w:pPr>
    </w:p>
    <w:p w14:paraId="1DCA66F6" w14:textId="78DC9D0B" w:rsidR="00C47326" w:rsidRDefault="00C47326" w:rsidP="00B51A46">
      <w:pPr>
        <w:pStyle w:val="Compact"/>
        <w:jc w:val="both"/>
        <w:rPr>
          <w:rFonts w:ascii="標楷體-繁" w:eastAsia="標楷體-繁" w:hAnsi="標楷體-繁"/>
          <w:color w:val="000000" w:themeColor="text1"/>
        </w:rPr>
      </w:pPr>
    </w:p>
    <w:p w14:paraId="4281993F" w14:textId="4B7B50B2" w:rsidR="00C47326" w:rsidRDefault="00C47326" w:rsidP="00B51A46">
      <w:pPr>
        <w:pStyle w:val="Compact"/>
        <w:jc w:val="both"/>
        <w:rPr>
          <w:rFonts w:ascii="標楷體-繁" w:eastAsia="標楷體-繁" w:hAnsi="標楷體-繁"/>
          <w:color w:val="000000" w:themeColor="text1"/>
        </w:rPr>
      </w:pPr>
    </w:p>
    <w:p w14:paraId="54D387F8" w14:textId="52140916" w:rsidR="00C47326" w:rsidRDefault="00C47326" w:rsidP="00B51A46">
      <w:pPr>
        <w:pStyle w:val="Compact"/>
        <w:jc w:val="both"/>
        <w:rPr>
          <w:rFonts w:ascii="標楷體-繁" w:eastAsia="標楷體-繁" w:hAnsi="標楷體-繁"/>
          <w:color w:val="000000" w:themeColor="text1"/>
        </w:rPr>
      </w:pPr>
    </w:p>
    <w:p w14:paraId="65AD8295" w14:textId="77777777" w:rsidR="00C47326" w:rsidRPr="00B51A46" w:rsidRDefault="00C47326" w:rsidP="00B51A46">
      <w:pPr>
        <w:pStyle w:val="Compact"/>
        <w:jc w:val="both"/>
        <w:rPr>
          <w:rFonts w:ascii="標楷體-繁" w:eastAsia="標楷體-繁" w:hAnsi="標楷體-繁"/>
          <w:color w:val="000000" w:themeColor="text1"/>
        </w:rPr>
      </w:pPr>
    </w:p>
    <w:p w14:paraId="0ED28E4F" w14:textId="00E0CF3F" w:rsidR="00091A37" w:rsidRPr="00C47326" w:rsidRDefault="00B51A46" w:rsidP="00C47326">
      <w:pPr>
        <w:pStyle w:val="Compact"/>
        <w:rPr>
          <w:rFonts w:ascii="標楷體-繁" w:eastAsia="標楷體-繁" w:hAnsi="標楷體-繁"/>
          <w:color w:val="000000" w:themeColor="text1"/>
          <w:sz w:val="21"/>
          <w:szCs w:val="21"/>
        </w:rPr>
      </w:pPr>
      <w:r w:rsidRPr="00C47326">
        <w:rPr>
          <w:rFonts w:ascii="標楷體-繁" w:eastAsia="標楷體-繁" w:hAnsi="標楷體-繁" w:hint="eastAsia"/>
          <w:color w:val="000000" w:themeColor="text1"/>
          <w:sz w:val="21"/>
          <w:szCs w:val="21"/>
        </w:rPr>
        <w:t xml:space="preserve">6 例如，見 </w:t>
      </w:r>
      <w:proofErr w:type="spellStart"/>
      <w:r w:rsidRPr="00C47326">
        <w:rPr>
          <w:rFonts w:ascii="標楷體-繁" w:eastAsia="標楷體-繁" w:hAnsi="標楷體-繁" w:hint="eastAsia"/>
          <w:color w:val="000000" w:themeColor="text1"/>
          <w:sz w:val="21"/>
          <w:szCs w:val="21"/>
        </w:rPr>
        <w:t>Mok</w:t>
      </w:r>
      <w:proofErr w:type="spellEnd"/>
      <w:r w:rsidRPr="00C47326">
        <w:rPr>
          <w:rFonts w:ascii="標楷體-繁" w:eastAsia="標楷體-繁" w:hAnsi="標楷體-繁" w:hint="eastAsia"/>
          <w:color w:val="000000" w:themeColor="text1"/>
          <w:sz w:val="21"/>
          <w:szCs w:val="21"/>
        </w:rPr>
        <w:t>, Y., J. Jeon, D.T. Levy, and R. Meza. "Associations Between E-Cigarette Use and E-Cigarette Flavors With Cigarette Smoking Quit Attempts and Quit Success: Evidence From a U.S. Large, Nationally Representative 2018–2019 Survey." Nicotine &amp; Tobacco Research 25, no. 3 (2023): 541-552. 網址：https://doi.org/10.1093/ntr/ntac241（發現，相較於未使用者，使用非菸草味ENDS 之成年人有較高之戒菸嘗試勝算比〔adjusted odds ratio, AOR 2.9〕與戒菸成功勝算比〔AOR 1.7〕，且在頻繁使用者中關聯更強）；Smith TT, et al. “The Impact of Non-Tobacco E-Cigarette Flavoring on E-Cigarette Uptake, Cigarette Smoking Reduction, and Cessation: A Secondary Analysis of a Nationwide Clinical Trial.” Addictive Behaviors, Vol.163, (2025): 108240. 網址：https://doi.org/10.1016/j.addbeh.2024.108240（發現，相較於僅使用菸草味者，使用非菸草風味之參與者有更高之ENDS 採用率及香菸減量）；</w:t>
      </w:r>
      <w:proofErr w:type="spellStart"/>
      <w:r w:rsidRPr="00C47326">
        <w:rPr>
          <w:rFonts w:ascii="標楷體-繁" w:eastAsia="標楷體-繁" w:hAnsi="標楷體-繁" w:hint="eastAsia"/>
          <w:color w:val="000000" w:themeColor="text1"/>
          <w:sz w:val="21"/>
          <w:szCs w:val="21"/>
        </w:rPr>
        <w:t>Lindson</w:t>
      </w:r>
      <w:proofErr w:type="spellEnd"/>
      <w:r w:rsidRPr="00C47326">
        <w:rPr>
          <w:rFonts w:ascii="標楷體-繁" w:eastAsia="標楷體-繁" w:hAnsi="標楷體-繁" w:hint="eastAsia"/>
          <w:color w:val="000000" w:themeColor="text1"/>
          <w:sz w:val="21"/>
          <w:szCs w:val="21"/>
        </w:rPr>
        <w:t xml:space="preserve">, N., J. Livingstone-Banks, A.R. Butler, et al. "An Update of a Systematic Review and Meta-Analyses Exploring </w:t>
      </w:r>
      <w:proofErr w:type="spellStart"/>
      <w:r w:rsidRPr="00C47326">
        <w:rPr>
          <w:rFonts w:ascii="標楷體-繁" w:eastAsia="標楷體-繁" w:hAnsi="標楷體-繁" w:hint="eastAsia"/>
          <w:color w:val="000000" w:themeColor="text1"/>
          <w:sz w:val="21"/>
          <w:szCs w:val="21"/>
        </w:rPr>
        <w:t>Flavours</w:t>
      </w:r>
      <w:proofErr w:type="spellEnd"/>
      <w:r w:rsidRPr="00C47326">
        <w:rPr>
          <w:rFonts w:ascii="標楷體-繁" w:eastAsia="標楷體-繁" w:hAnsi="標楷體-繁" w:hint="eastAsia"/>
          <w:color w:val="000000" w:themeColor="text1"/>
          <w:sz w:val="21"/>
          <w:szCs w:val="21"/>
        </w:rPr>
        <w:t xml:space="preserve"> in Intervention Studies of E-Cigarettes for Smoking Cessation." Addiction, Vol.120 (4), (2025): 770-778. 網址：https://doi.org/10.1111%2Fadd.16736（統合分析發現，甜味風味在戒菸嘗試期間常被偏好，但在戒菸嘗試期間亦有風味轉換；介入研究之次群統合分析顯示，風味提供與戒菸成功或較長期產品使用之間無明確關聯，凸顯仍存在證據缺口，且研究結果仍屬混合）。另見</w:t>
      </w:r>
      <w:r w:rsidRPr="00C47326">
        <w:rPr>
          <w:rFonts w:ascii="標楷體-繁" w:eastAsia="標楷體-繁" w:hAnsi="標楷體-繁"/>
          <w:color w:val="000000" w:themeColor="text1"/>
          <w:sz w:val="21"/>
          <w:szCs w:val="21"/>
        </w:rPr>
        <w:t xml:space="preserve">Chang, J.T., Mayer, M., et al. Characteristics and Patterns of Cigarette Smoking and Vaping </w:t>
      </w:r>
      <w:proofErr w:type="gramStart"/>
      <w:r w:rsidRPr="00C47326">
        <w:rPr>
          <w:rFonts w:ascii="標楷體-繁" w:eastAsia="標楷體-繁" w:hAnsi="標楷體-繁"/>
          <w:color w:val="000000" w:themeColor="text1"/>
          <w:sz w:val="21"/>
          <w:szCs w:val="21"/>
        </w:rPr>
        <w:t>By</w:t>
      </w:r>
      <w:proofErr w:type="gramEnd"/>
      <w:r w:rsidRPr="00C47326">
        <w:rPr>
          <w:rFonts w:ascii="標楷體-繁" w:eastAsia="標楷體-繁" w:hAnsi="標楷體-繁"/>
          <w:color w:val="000000" w:themeColor="text1"/>
          <w:sz w:val="21"/>
          <w:szCs w:val="21"/>
        </w:rPr>
        <w:t xml:space="preserve"> Past-Year Smokers Who Reported Using Electronic Nicotine Delivery System to Help Quit Smoking in the Past Year: Findings From the 2018–2019 Tobacco Use Suppleme</w:t>
      </w:r>
      <w:r w:rsidRPr="00C47326">
        <w:rPr>
          <w:rFonts w:ascii="標楷體-繁" w:eastAsia="標楷體-繁" w:hAnsi="標楷體-繁" w:hint="eastAsia"/>
          <w:color w:val="000000" w:themeColor="text1"/>
          <w:sz w:val="21"/>
          <w:szCs w:val="21"/>
        </w:rPr>
        <w:t xml:space="preserve">nt to the Current Population Survey. Nicotine &amp; Tobacco Research 25 (2023): 596-601. 網址：https://doi.org/10.1093/ntr/ntac199（橫斷面資料發現，為了戒菸而嘗試改用ENDS 的使用者，比起同時使用兩者且嘗試改用 ENDS 戒菸者，更可能專用薄荷醇／薄荷風味，而較不可能使用菸草味 ENDS）；Liber AC, Knoll M, </w:t>
      </w:r>
      <w:proofErr w:type="spellStart"/>
      <w:r w:rsidRPr="00C47326">
        <w:rPr>
          <w:rFonts w:ascii="標楷體-繁" w:eastAsia="標楷體-繁" w:hAnsi="標楷體-繁" w:hint="eastAsia"/>
          <w:color w:val="000000" w:themeColor="text1"/>
          <w:sz w:val="21"/>
          <w:szCs w:val="21"/>
        </w:rPr>
        <w:t>Cadham</w:t>
      </w:r>
      <w:proofErr w:type="spellEnd"/>
      <w:r w:rsidRPr="00C47326">
        <w:rPr>
          <w:rFonts w:ascii="標楷體-繁" w:eastAsia="標楷體-繁" w:hAnsi="標楷體-繁" w:hint="eastAsia"/>
          <w:color w:val="000000" w:themeColor="text1"/>
          <w:sz w:val="21"/>
          <w:szCs w:val="21"/>
        </w:rPr>
        <w:t xml:space="preserve"> CJ, et al. The role of flavored electronic nicotine delivery systems in smoking cessation: A systematic review. Drug Alcohol Depend Rep 7 (2023): 100143. 網址：https://doi.org/10.1016/j.dadr.2023.100143（系統性回顧認為，由於現有文獻的方法學限制，不同加味ENDS 使用與戒菸結果之角色證據尚無定論）。FDA 指出，許多現有證據受到方法學限制，FDA 在評估產品是否符合 APPH 標準時，係評估全部科學證據之整體性。</w:t>
      </w:r>
      <w:r w:rsidR="00091A37">
        <w:rPr>
          <w:rFonts w:ascii="標楷體-繁" w:eastAsia="標楷體-繁" w:hAnsi="標楷體-繁"/>
          <w:color w:val="000000" w:themeColor="text1"/>
        </w:rPr>
        <w:br w:type="page"/>
      </w:r>
    </w:p>
    <w:p w14:paraId="259803DF" w14:textId="0DFB67E5" w:rsidR="00B51A46" w:rsidRPr="00B51A46" w:rsidRDefault="00B51A46" w:rsidP="00B51A46">
      <w:pPr>
        <w:pStyle w:val="Compact"/>
        <w:jc w:val="center"/>
        <w:rPr>
          <w:rFonts w:ascii="標楷體-繁" w:eastAsia="標楷體-繁" w:hAnsi="標楷體-繁"/>
          <w:b/>
          <w:bCs/>
          <w:color w:val="000000" w:themeColor="text1"/>
        </w:rPr>
      </w:pPr>
      <w:r w:rsidRPr="00B51A46">
        <w:rPr>
          <w:rFonts w:ascii="標楷體-繁" w:eastAsia="標楷體-繁" w:hAnsi="標楷體-繁" w:hint="eastAsia"/>
          <w:b/>
          <w:bCs/>
          <w:color w:val="000000" w:themeColor="text1"/>
        </w:rPr>
        <w:lastRenderedPageBreak/>
        <w:t>含非約束性建議</w:t>
      </w:r>
    </w:p>
    <w:p w14:paraId="53D9557B" w14:textId="77777777" w:rsidR="00B51A46" w:rsidRPr="00B51A46" w:rsidRDefault="00B51A46" w:rsidP="00B51A46">
      <w:pPr>
        <w:pStyle w:val="Compact"/>
        <w:jc w:val="both"/>
        <w:rPr>
          <w:rFonts w:ascii="標楷體-繁" w:eastAsia="標楷體-繁" w:hAnsi="標楷體-繁"/>
          <w:color w:val="000000" w:themeColor="text1"/>
        </w:rPr>
      </w:pPr>
    </w:p>
    <w:p w14:paraId="53B136DC" w14:textId="77777777" w:rsidR="00B51A46" w:rsidRPr="00B51A46" w:rsidRDefault="00B51A46" w:rsidP="00B51A46">
      <w:pPr>
        <w:pStyle w:val="Compact"/>
        <w:jc w:val="both"/>
        <w:rPr>
          <w:rFonts w:ascii="標楷體-繁" w:eastAsia="標楷體-繁" w:hAnsi="標楷體-繁"/>
          <w:color w:val="000000" w:themeColor="text1"/>
        </w:rPr>
      </w:pPr>
      <w:r w:rsidRPr="00B51A46">
        <w:rPr>
          <w:rFonts w:ascii="標楷體-繁" w:eastAsia="標楷體-繁" w:hAnsi="標楷體-繁" w:hint="eastAsia"/>
          <w:color w:val="000000" w:themeColor="text1"/>
        </w:rPr>
        <w:t>迄今，我們尚未更明確地就非菸草風味之 ENDS 產品，依其風味對青少年可能造成之相對風險程度（例如低、中、高）或為抵銷該差異風險所需之額外成年人利益，作出區別。本文件旨在進一步釐清 FDA 目前在評估與表徵非菸草風味（例如水果與糖果／甜點／其他甜味）對青少年所造成之風險，以及 FDA 通常擬如何在評估產品對成年使用者之利益是否足以抵銷該等風險時考量此類風險之方法。FDA 重申其對青少年風險之關切——尤其是與特別吸引青少年之風味（例如水果與糖果／甜點／其他甜味 ENDS 產品）相關之起始使用——而本指引反映 FDA 對適用於非菸草風味 ENDS 產品之證據考量所更新之現行看法。</w:t>
      </w:r>
    </w:p>
    <w:p w14:paraId="50927455" w14:textId="77777777" w:rsidR="00B51A46" w:rsidRPr="00B51A46" w:rsidRDefault="00B51A46" w:rsidP="00B51A46">
      <w:pPr>
        <w:pStyle w:val="Compact"/>
        <w:jc w:val="both"/>
        <w:rPr>
          <w:rFonts w:ascii="標楷體-繁" w:eastAsia="標楷體-繁" w:hAnsi="標楷體-繁"/>
          <w:color w:val="000000" w:themeColor="text1"/>
        </w:rPr>
      </w:pPr>
    </w:p>
    <w:p w14:paraId="1D85B5A0" w14:textId="77777777" w:rsidR="00B51A46" w:rsidRPr="00B51A46" w:rsidRDefault="00B51A46" w:rsidP="00B51A46">
      <w:pPr>
        <w:pStyle w:val="Compact"/>
        <w:jc w:val="both"/>
        <w:rPr>
          <w:rFonts w:ascii="標楷體-繁" w:eastAsia="標楷體-繁" w:hAnsi="標楷體-繁"/>
          <w:color w:val="000000" w:themeColor="text1"/>
        </w:rPr>
      </w:pPr>
      <w:r w:rsidRPr="00B51A46">
        <w:rPr>
          <w:rFonts w:ascii="標楷體-繁" w:eastAsia="標楷體-繁" w:hAnsi="標楷體-繁" w:hint="eastAsia"/>
          <w:color w:val="000000" w:themeColor="text1"/>
        </w:rPr>
        <w:t>FDA 的指引文件，包括本指引在內，並不建立具法律可執行性之責任。相反地，指引僅描述本機關對某一主題之現行看法，除非引述特定法規或法律要求，否則僅應視為建議。機關指引中使用 should 一詞，表示某事項係建議或推薦，而非強制要求。</w:t>
      </w:r>
    </w:p>
    <w:p w14:paraId="2D957F50" w14:textId="77777777" w:rsidR="00B51A46" w:rsidRPr="00B51A46" w:rsidRDefault="00B51A46" w:rsidP="00B51A46">
      <w:pPr>
        <w:pStyle w:val="Compact"/>
        <w:jc w:val="both"/>
        <w:rPr>
          <w:rFonts w:ascii="標楷體-繁" w:eastAsia="標楷體-繁" w:hAnsi="標楷體-繁"/>
          <w:color w:val="000000" w:themeColor="text1"/>
        </w:rPr>
      </w:pPr>
    </w:p>
    <w:p w14:paraId="5B41DEC7" w14:textId="77777777" w:rsidR="00B51A46" w:rsidRPr="00B51A46" w:rsidRDefault="00B51A46" w:rsidP="00B51A46">
      <w:pPr>
        <w:pStyle w:val="Compact"/>
        <w:jc w:val="both"/>
        <w:rPr>
          <w:rFonts w:ascii="標楷體-繁" w:eastAsia="標楷體-繁" w:hAnsi="標楷體-繁"/>
          <w:b/>
          <w:bCs/>
          <w:color w:val="000000" w:themeColor="text1"/>
        </w:rPr>
      </w:pPr>
      <w:r w:rsidRPr="00B51A46">
        <w:rPr>
          <w:rFonts w:ascii="標楷體-繁" w:eastAsia="標楷體-繁" w:hAnsi="標楷體-繁" w:hint="eastAsia"/>
          <w:b/>
          <w:bCs/>
          <w:color w:val="000000" w:themeColor="text1"/>
        </w:rPr>
        <w:t>II. 背景</w:t>
      </w:r>
    </w:p>
    <w:p w14:paraId="090C5369" w14:textId="77777777" w:rsidR="00B51A46" w:rsidRPr="00B51A46" w:rsidRDefault="00B51A46" w:rsidP="00B51A46">
      <w:pPr>
        <w:pStyle w:val="Compact"/>
        <w:jc w:val="both"/>
        <w:rPr>
          <w:rFonts w:ascii="標楷體-繁" w:eastAsia="標楷體-繁" w:hAnsi="標楷體-繁"/>
          <w:color w:val="000000" w:themeColor="text1"/>
        </w:rPr>
      </w:pPr>
    </w:p>
    <w:p w14:paraId="38E891D3" w14:textId="33B01C3C" w:rsidR="00B51A46" w:rsidRPr="00B51A46" w:rsidRDefault="00B51A46" w:rsidP="00B51A46">
      <w:pPr>
        <w:pStyle w:val="Compact"/>
        <w:jc w:val="both"/>
        <w:rPr>
          <w:rFonts w:ascii="標楷體-繁" w:eastAsia="標楷體-繁" w:hAnsi="標楷體-繁"/>
          <w:color w:val="000000" w:themeColor="text1"/>
        </w:rPr>
      </w:pPr>
      <w:r w:rsidRPr="00B51A46">
        <w:rPr>
          <w:rFonts w:ascii="標楷體-繁" w:eastAsia="標楷體-繁" w:hAnsi="標楷體-繁" w:hint="eastAsia"/>
          <w:color w:val="000000" w:themeColor="text1"/>
        </w:rPr>
        <w:t>《家庭吸菸預防與菸草控制法》（Family Smoking Prevention and Tobacco Control Act，Tobacco Control Act）（Pub. L. 111-31）於 2009 年 6 月 22 日制定，修正 FD&amp;C Act，並賦予 FDA 管理菸草產品之權限。具體而言，《菸草控制法》第 101(b) 條修正 FD&amp;C Act，增列新章節，使 FDA 對菸草產品具有管轄權。2016 年，為更妥善保護公共衛生，FDA 發布最終規則「依家庭吸菸預防與菸草控制法修正之聯邦食品、藥品與化妝品法，將菸草產品視為受其規範；限制菸草產品之銷售與配送，並要求菸草產品之警語聲明」（最終 deeming rule）（81 FR 28974，2016 年 5 月 10 日）。該最終 deeming rule 將 FDA 對菸草產品之管轄權延伸至所有符合 FD&amp;C Act 第 201(</w:t>
      </w:r>
      <w:proofErr w:type="spellStart"/>
      <w:r w:rsidRPr="00B51A46">
        <w:rPr>
          <w:rFonts w:ascii="標楷體-繁" w:eastAsia="標楷體-繁" w:hAnsi="標楷體-繁" w:hint="eastAsia"/>
          <w:color w:val="000000" w:themeColor="text1"/>
        </w:rPr>
        <w:t>rr</w:t>
      </w:r>
      <w:proofErr w:type="spellEnd"/>
      <w:r w:rsidRPr="00B51A46">
        <w:rPr>
          <w:rFonts w:ascii="標楷體-繁" w:eastAsia="標楷體-繁" w:hAnsi="標楷體-繁" w:hint="eastAsia"/>
          <w:color w:val="000000" w:themeColor="text1"/>
        </w:rPr>
        <w:t>) 條（21 U.S.C. 321(</w:t>
      </w:r>
      <w:proofErr w:type="spellStart"/>
      <w:r w:rsidRPr="00B51A46">
        <w:rPr>
          <w:rFonts w:ascii="標楷體-繁" w:eastAsia="標楷體-繁" w:hAnsi="標楷體-繁" w:hint="eastAsia"/>
          <w:color w:val="000000" w:themeColor="text1"/>
        </w:rPr>
        <w:t>rr</w:t>
      </w:r>
      <w:proofErr w:type="spellEnd"/>
      <w:r w:rsidRPr="00B51A46">
        <w:rPr>
          <w:rFonts w:ascii="標楷體-繁" w:eastAsia="標楷體-繁" w:hAnsi="標楷體-繁" w:hint="eastAsia"/>
          <w:color w:val="000000" w:themeColor="text1"/>
        </w:rPr>
        <w:t>)）中「菸草產品」法定定義之產品，但不包括被 deem 之菸草產品的配件。</w:t>
      </w:r>
      <w:r w:rsidRPr="004D7BEE">
        <w:rPr>
          <w:rFonts w:ascii="標楷體-繁" w:eastAsia="標楷體-繁" w:hAnsi="標楷體-繁" w:hint="eastAsia"/>
          <w:color w:val="000000" w:themeColor="text1"/>
          <w:highlight w:val="cyan"/>
        </w:rPr>
        <w:t>依據最終 deeming rule，ENDS（包括但不限於電子</w:t>
      </w:r>
      <w:r w:rsidR="004D7BEE">
        <w:rPr>
          <w:rFonts w:ascii="標楷體-繁" w:eastAsia="標楷體-繁" w:hAnsi="標楷體-繁" w:hint="eastAsia"/>
          <w:color w:val="000000" w:themeColor="text1"/>
          <w:highlight w:val="cyan"/>
        </w:rPr>
        <w:t>菸</w:t>
      </w:r>
      <w:r w:rsidRPr="004D7BEE">
        <w:rPr>
          <w:rFonts w:ascii="標楷體-繁" w:eastAsia="標楷體-繁" w:hAnsi="標楷體-繁" w:hint="eastAsia"/>
          <w:color w:val="000000" w:themeColor="text1"/>
          <w:highlight w:val="cyan"/>
        </w:rPr>
        <w:t>油、電子菸、電子菸筆、電子雪茄、電子水</w:t>
      </w:r>
      <w:r w:rsidR="004D7BEE">
        <w:rPr>
          <w:rFonts w:ascii="標楷體-繁" w:eastAsia="標楷體-繁" w:hAnsi="標楷體-繁" w:hint="eastAsia"/>
          <w:color w:val="000000" w:themeColor="text1"/>
          <w:highlight w:val="cyan"/>
        </w:rPr>
        <w:t>菸</w:t>
      </w:r>
      <w:r w:rsidRPr="004D7BEE">
        <w:rPr>
          <w:rFonts w:ascii="標楷體-繁" w:eastAsia="標楷體-繁" w:hAnsi="標楷體-繁" w:hint="eastAsia"/>
          <w:color w:val="000000" w:themeColor="text1"/>
          <w:highlight w:val="cyan"/>
        </w:rPr>
        <w:t>、vape pens、個人蒸氣器及電子</w:t>
      </w:r>
      <w:r w:rsidR="004D7BEE">
        <w:rPr>
          <w:rFonts w:ascii="標楷體-繁" w:eastAsia="標楷體-繁" w:hAnsi="標楷體-繁" w:hint="eastAsia"/>
          <w:color w:val="000000" w:themeColor="text1"/>
          <w:highlight w:val="cyan"/>
        </w:rPr>
        <w:t>菸</w:t>
      </w:r>
      <w:r w:rsidRPr="004D7BEE">
        <w:rPr>
          <w:rFonts w:ascii="標楷體-繁" w:eastAsia="標楷體-繁" w:hAnsi="標楷體-繁" w:hint="eastAsia"/>
          <w:color w:val="000000" w:themeColor="text1"/>
          <w:highlight w:val="cyan"/>
        </w:rPr>
        <w:t>斗）自該最終 deeming rule 生效日起，即受 FD&amp;C Act 第 IX 章之規範。</w:t>
      </w:r>
    </w:p>
    <w:p w14:paraId="4D2F2BB6" w14:textId="77777777" w:rsidR="00B51A46" w:rsidRPr="00B51A46" w:rsidRDefault="00B51A46" w:rsidP="00B51A46">
      <w:pPr>
        <w:pStyle w:val="Compact"/>
        <w:jc w:val="both"/>
        <w:rPr>
          <w:rFonts w:ascii="標楷體-繁" w:eastAsia="標楷體-繁" w:hAnsi="標楷體-繁"/>
          <w:color w:val="000000" w:themeColor="text1"/>
        </w:rPr>
      </w:pPr>
    </w:p>
    <w:p w14:paraId="3531BD41" w14:textId="5750DD9F" w:rsidR="00091A37" w:rsidRDefault="00B51A46" w:rsidP="00C47326">
      <w:pPr>
        <w:pStyle w:val="Compact"/>
        <w:jc w:val="both"/>
        <w:rPr>
          <w:rFonts w:ascii="標楷體-繁" w:eastAsia="標楷體-繁" w:hAnsi="標楷體-繁"/>
          <w:color w:val="000000" w:themeColor="text1"/>
        </w:rPr>
      </w:pPr>
      <w:r w:rsidRPr="004D7BEE">
        <w:rPr>
          <w:rFonts w:ascii="標楷體-繁" w:eastAsia="標楷體-繁" w:hAnsi="標楷體-繁" w:hint="eastAsia"/>
          <w:color w:val="000000" w:themeColor="text1"/>
          <w:highlight w:val="cyan"/>
        </w:rPr>
        <w:t>所有受規管且符合「新菸草產品</w:t>
      </w:r>
      <w:r w:rsidR="004D7BEE">
        <w:rPr>
          <w:rFonts w:ascii="標楷體-繁" w:eastAsia="標楷體-繁" w:hAnsi="標楷體-繁" w:hint="eastAsia"/>
          <w:color w:val="000000" w:themeColor="text1"/>
          <w:highlight w:val="cyan"/>
        </w:rPr>
        <w:t xml:space="preserve">（ </w:t>
      </w:r>
      <w:r w:rsidR="004D7BEE">
        <w:rPr>
          <w:rFonts w:ascii="標楷體-繁" w:eastAsia="標楷體-繁" w:hAnsi="標楷體-繁"/>
          <w:color w:val="000000" w:themeColor="text1"/>
          <w:highlight w:val="cyan"/>
        </w:rPr>
        <w:t>New Tobacco Products</w:t>
      </w:r>
      <w:r w:rsidR="004D7BEE">
        <w:rPr>
          <w:rFonts w:ascii="標楷體-繁" w:eastAsia="標楷體-繁" w:hAnsi="標楷體-繁" w:hint="eastAsia"/>
          <w:color w:val="000000" w:themeColor="text1"/>
          <w:highlight w:val="cyan"/>
        </w:rPr>
        <w:t>）</w:t>
      </w:r>
      <w:r w:rsidRPr="004D7BEE">
        <w:rPr>
          <w:rFonts w:ascii="標楷體-繁" w:eastAsia="標楷體-繁" w:hAnsi="標楷體-繁" w:hint="eastAsia"/>
          <w:color w:val="000000" w:themeColor="text1"/>
          <w:highlight w:val="cyan"/>
        </w:rPr>
        <w:t>」定義之菸草產品，包括 ENDS 產品，均受 FD&amp;C Act 第 910(a)(2) 條之上市前審查要求所拘束。</w:t>
      </w:r>
      <w:r w:rsidRPr="00B51A46">
        <w:rPr>
          <w:rFonts w:ascii="標楷體-繁" w:eastAsia="標楷體-繁" w:hAnsi="標楷體-繁" w:hint="eastAsia"/>
          <w:color w:val="000000" w:themeColor="text1"/>
        </w:rPr>
        <w:t>製造商必須依 FD&amp;C Act 第 910(a)(2) 條之規定，在其產品上市前取得 FDA 授權。7 對 ENDS 產品而言，PMTA 途徑最可能是適當途徑。</w:t>
      </w:r>
      <w:r w:rsidR="00091A37">
        <w:rPr>
          <w:rFonts w:ascii="標楷體-繁" w:eastAsia="標楷體-繁" w:hAnsi="標楷體-繁"/>
          <w:color w:val="000000" w:themeColor="text1"/>
        </w:rPr>
        <w:br w:type="page"/>
      </w:r>
    </w:p>
    <w:p w14:paraId="5A19ABBF" w14:textId="4798E5D4" w:rsidR="00AE6250" w:rsidRPr="00AE6250" w:rsidRDefault="00AE6250" w:rsidP="00AE6250">
      <w:pPr>
        <w:pStyle w:val="Compact"/>
        <w:jc w:val="center"/>
        <w:rPr>
          <w:rFonts w:ascii="標楷體-繁" w:eastAsia="標楷體-繁" w:hAnsi="標楷體-繁"/>
          <w:b/>
          <w:bCs/>
          <w:color w:val="000000" w:themeColor="text1"/>
        </w:rPr>
      </w:pPr>
      <w:r w:rsidRPr="00B51A46">
        <w:rPr>
          <w:rFonts w:ascii="標楷體-繁" w:eastAsia="標楷體-繁" w:hAnsi="標楷體-繁" w:hint="eastAsia"/>
          <w:b/>
          <w:bCs/>
          <w:color w:val="000000" w:themeColor="text1"/>
        </w:rPr>
        <w:lastRenderedPageBreak/>
        <w:t>含非約束性建議</w:t>
      </w:r>
    </w:p>
    <w:p w14:paraId="6BE3C84D" w14:textId="77777777" w:rsidR="00AE6250" w:rsidRDefault="00AE6250" w:rsidP="006B79D7">
      <w:pPr>
        <w:pStyle w:val="Compact"/>
        <w:jc w:val="both"/>
        <w:rPr>
          <w:rFonts w:ascii="標楷體-繁" w:eastAsia="標楷體-繁" w:hAnsi="標楷體-繁"/>
          <w:color w:val="000000" w:themeColor="text1"/>
        </w:rPr>
      </w:pPr>
    </w:p>
    <w:p w14:paraId="22C60BCF" w14:textId="25DEB573" w:rsidR="00091A37" w:rsidRDefault="00B51A46" w:rsidP="006B79D7">
      <w:pPr>
        <w:pStyle w:val="Compact"/>
        <w:jc w:val="both"/>
        <w:rPr>
          <w:rFonts w:ascii="標楷體-繁" w:eastAsia="標楷體-繁" w:hAnsi="標楷體-繁"/>
          <w:color w:val="000000" w:themeColor="text1"/>
        </w:rPr>
      </w:pPr>
      <w:r w:rsidRPr="004D7BEE">
        <w:rPr>
          <w:rFonts w:ascii="標楷體-繁" w:eastAsia="標楷體-繁" w:hAnsi="標楷體-繁" w:hint="eastAsia"/>
          <w:color w:val="000000" w:themeColor="text1"/>
          <w:highlight w:val="cyan"/>
        </w:rPr>
        <w:t>欲透過 PMTA 取得上市授權之申請人，除其他事項外，必須證明該新產品之上市將符合 APPH。</w:t>
      </w:r>
      <w:r w:rsidRPr="00B51A46">
        <w:rPr>
          <w:rFonts w:ascii="標楷體-繁" w:eastAsia="標楷體-繁" w:hAnsi="標楷體-繁" w:hint="eastAsia"/>
          <w:color w:val="000000" w:themeColor="text1"/>
        </w:rPr>
        <w:t>8 在適用該標準時，FDA 必須考量「對整體人口之風險與利益」。9 具體而言，其必須同時考量「現有菸草產品使用者停止使用該等產品之可能性增加或降低」以及「未使用菸草產品者開始使用該等產品之可能性增加或降低」。10 換言之，該標準要求本機關權衡：（1）新產品幫助現有菸草使用者完全戒除、完全轉換至可能危害較低之替代品，或顯著減少其吸食可燃式菸草產品之數量之可能性；與（2）新產品吸引未使用菸草產品者（包括青少年）開始使用菸草產品之風險。某些 ENDS 產品若能促成完全轉換及／或顯著減少可燃式香菸使用，則可能降低現有吸菸者之風險。FDA 對 APPH 的判定，係針對個別產品之特性而為之。</w:t>
      </w:r>
    </w:p>
    <w:p w14:paraId="6871FF12" w14:textId="686D22A7" w:rsidR="00B51A46" w:rsidRDefault="00B51A46" w:rsidP="006B79D7">
      <w:pPr>
        <w:pStyle w:val="Compact"/>
        <w:jc w:val="both"/>
        <w:rPr>
          <w:rFonts w:ascii="標楷體-繁" w:eastAsia="標楷體-繁" w:hAnsi="標楷體-繁"/>
          <w:color w:val="000000" w:themeColor="text1"/>
        </w:rPr>
      </w:pPr>
    </w:p>
    <w:p w14:paraId="3DD743F3" w14:textId="7CE97EED" w:rsidR="00AE6250" w:rsidRDefault="00AE6250" w:rsidP="006B79D7">
      <w:pPr>
        <w:pStyle w:val="Compact"/>
        <w:jc w:val="both"/>
        <w:rPr>
          <w:rFonts w:ascii="標楷體-繁" w:eastAsia="標楷體-繁" w:hAnsi="標楷體-繁"/>
          <w:color w:val="000000" w:themeColor="text1"/>
        </w:rPr>
      </w:pPr>
      <w:r w:rsidRPr="00AE6250">
        <w:rPr>
          <w:rFonts w:ascii="標楷體-繁" w:eastAsia="標楷體-繁" w:hAnsi="標楷體-繁" w:hint="eastAsia"/>
          <w:color w:val="000000" w:themeColor="text1"/>
        </w:rPr>
        <w:t>APPH 標準要求，尋求上市前授權之公司，必須證明新菸草產品之上市將基於對整體人口之風險與利益而對公共衛生產生淨效益，其中包括青少年、年輕成年人及其他脆弱族群。整體而言，青少年因多種原因而被視為脆弱族群，包括大多數菸草使用始於成年之前，因此青少年特別有菸草起始使用之風險。在針對如 ENDS 這類非燃燒式菸草產品進行 APPH 評估時，FDA 除其他事項外，會衡量因青少年起始使用與使用該產品所帶來之負面公共衛生影響，與使用可燃式香菸之成年人轉離可燃式香菸，也就是完全轉換至該 ENDS 產品，或顯著減少可燃式香菸吸食量所帶來之潛在正面公共衛生影響。為了證明 ENDS 之上市符合 APPH，申請人必須證明，其效益（包括對使用可燃式香菸之成年人之效益）大於其風險（包括對青少年之風險），從而對公共衛生產生淨效益。</w:t>
      </w:r>
    </w:p>
    <w:p w14:paraId="24B7541E" w14:textId="4FB5D21A" w:rsidR="00AE6250" w:rsidRDefault="00AE6250" w:rsidP="006B79D7">
      <w:pPr>
        <w:pStyle w:val="Compact"/>
        <w:jc w:val="both"/>
        <w:rPr>
          <w:rFonts w:ascii="標楷體-繁" w:eastAsia="標楷體-繁" w:hAnsi="標楷體-繁"/>
          <w:color w:val="000000" w:themeColor="text1"/>
        </w:rPr>
      </w:pPr>
    </w:p>
    <w:p w14:paraId="0D4A125B" w14:textId="6DAED78A" w:rsidR="00AE6250" w:rsidRDefault="00AE6250" w:rsidP="006B79D7">
      <w:pPr>
        <w:pStyle w:val="Compact"/>
        <w:jc w:val="both"/>
        <w:rPr>
          <w:rFonts w:ascii="標楷體-繁" w:eastAsia="標楷體-繁" w:hAnsi="標楷體-繁"/>
          <w:color w:val="000000" w:themeColor="text1"/>
        </w:rPr>
      </w:pPr>
    </w:p>
    <w:p w14:paraId="678FC8F5" w14:textId="121D5AB7" w:rsidR="00AE6250" w:rsidRDefault="00AE6250" w:rsidP="006B79D7">
      <w:pPr>
        <w:pStyle w:val="Compact"/>
        <w:jc w:val="both"/>
        <w:rPr>
          <w:rFonts w:ascii="標楷體-繁" w:eastAsia="標楷體-繁" w:hAnsi="標楷體-繁"/>
          <w:color w:val="000000" w:themeColor="text1"/>
        </w:rPr>
      </w:pPr>
    </w:p>
    <w:p w14:paraId="0B2DCDB0" w14:textId="77389D0B" w:rsidR="00AE6250" w:rsidRDefault="00AE6250" w:rsidP="006B79D7">
      <w:pPr>
        <w:pStyle w:val="Compact"/>
        <w:jc w:val="both"/>
        <w:rPr>
          <w:rFonts w:ascii="標楷體-繁" w:eastAsia="標楷體-繁" w:hAnsi="標楷體-繁"/>
          <w:color w:val="000000" w:themeColor="text1"/>
        </w:rPr>
      </w:pPr>
    </w:p>
    <w:p w14:paraId="51EDB378" w14:textId="270AE1D4" w:rsidR="00AE6250" w:rsidRDefault="00AE6250" w:rsidP="006B79D7">
      <w:pPr>
        <w:pStyle w:val="Compact"/>
        <w:jc w:val="both"/>
        <w:rPr>
          <w:rFonts w:ascii="標楷體-繁" w:eastAsia="標楷體-繁" w:hAnsi="標楷體-繁"/>
          <w:color w:val="000000" w:themeColor="text1"/>
        </w:rPr>
      </w:pPr>
    </w:p>
    <w:p w14:paraId="678656AF" w14:textId="27B85B28" w:rsidR="00AE6250" w:rsidRDefault="00AE6250" w:rsidP="006B79D7">
      <w:pPr>
        <w:pStyle w:val="Compact"/>
        <w:jc w:val="both"/>
        <w:rPr>
          <w:rFonts w:ascii="標楷體-繁" w:eastAsia="標楷體-繁" w:hAnsi="標楷體-繁"/>
          <w:color w:val="000000" w:themeColor="text1"/>
        </w:rPr>
      </w:pPr>
    </w:p>
    <w:p w14:paraId="668DD05E" w14:textId="697F80E2" w:rsidR="00AE6250" w:rsidRDefault="00AE6250" w:rsidP="006B79D7">
      <w:pPr>
        <w:pStyle w:val="Compact"/>
        <w:jc w:val="both"/>
        <w:rPr>
          <w:rFonts w:ascii="標楷體-繁" w:eastAsia="標楷體-繁" w:hAnsi="標楷體-繁"/>
          <w:color w:val="000000" w:themeColor="text1"/>
        </w:rPr>
      </w:pPr>
    </w:p>
    <w:p w14:paraId="5B805D07" w14:textId="667DCA34" w:rsidR="00AE6250" w:rsidRDefault="00AE6250" w:rsidP="006B79D7">
      <w:pPr>
        <w:pStyle w:val="Compact"/>
        <w:jc w:val="both"/>
        <w:rPr>
          <w:rFonts w:ascii="標楷體-繁" w:eastAsia="標楷體-繁" w:hAnsi="標楷體-繁"/>
          <w:color w:val="000000" w:themeColor="text1"/>
        </w:rPr>
      </w:pPr>
    </w:p>
    <w:p w14:paraId="02C325FB" w14:textId="1394AFAE" w:rsidR="00AE6250" w:rsidRDefault="00AE6250" w:rsidP="006B79D7">
      <w:pPr>
        <w:pStyle w:val="Compact"/>
        <w:jc w:val="both"/>
        <w:rPr>
          <w:rFonts w:ascii="標楷體-繁" w:eastAsia="標楷體-繁" w:hAnsi="標楷體-繁"/>
          <w:color w:val="000000" w:themeColor="text1"/>
        </w:rPr>
      </w:pPr>
    </w:p>
    <w:p w14:paraId="4A24611B" w14:textId="70AE30CE" w:rsidR="00AE6250" w:rsidRDefault="00AE6250" w:rsidP="006B79D7">
      <w:pPr>
        <w:pStyle w:val="Compact"/>
        <w:jc w:val="both"/>
        <w:rPr>
          <w:rFonts w:ascii="標楷體-繁" w:eastAsia="標楷體-繁" w:hAnsi="標楷體-繁"/>
          <w:color w:val="000000" w:themeColor="text1"/>
        </w:rPr>
      </w:pPr>
    </w:p>
    <w:p w14:paraId="65935388" w14:textId="5AD1AF09" w:rsidR="00AE6250" w:rsidRDefault="00AE6250" w:rsidP="006B79D7">
      <w:pPr>
        <w:pStyle w:val="Compact"/>
        <w:jc w:val="both"/>
        <w:rPr>
          <w:rFonts w:ascii="標楷體-繁" w:eastAsia="標楷體-繁" w:hAnsi="標楷體-繁"/>
          <w:color w:val="000000" w:themeColor="text1"/>
        </w:rPr>
      </w:pPr>
    </w:p>
    <w:p w14:paraId="3934CCDA" w14:textId="77777777" w:rsidR="00AE6250" w:rsidRDefault="00AE6250" w:rsidP="006B79D7">
      <w:pPr>
        <w:pStyle w:val="Compact"/>
        <w:jc w:val="both"/>
        <w:rPr>
          <w:rFonts w:ascii="標楷體-繁" w:eastAsia="標楷體-繁" w:hAnsi="標楷體-繁"/>
          <w:color w:val="000000" w:themeColor="text1"/>
        </w:rPr>
      </w:pPr>
    </w:p>
    <w:p w14:paraId="2EB15B58" w14:textId="1D1CA3D3" w:rsidR="00B51A46" w:rsidRPr="00C47326" w:rsidRDefault="00B51A46" w:rsidP="006B79D7">
      <w:pPr>
        <w:pStyle w:val="Compact"/>
        <w:jc w:val="both"/>
        <w:rPr>
          <w:rFonts w:ascii="標楷體-繁" w:eastAsia="標楷體-繁" w:hAnsi="標楷體-繁"/>
          <w:color w:val="000000" w:themeColor="text1"/>
          <w:sz w:val="21"/>
          <w:szCs w:val="21"/>
        </w:rPr>
      </w:pPr>
      <w:r w:rsidRPr="00C47326">
        <w:rPr>
          <w:rFonts w:ascii="標楷體-繁" w:eastAsia="標楷體-繁" w:hAnsi="標楷體-繁" w:hint="eastAsia"/>
          <w:color w:val="000000" w:themeColor="text1"/>
          <w:sz w:val="21"/>
          <w:szCs w:val="21"/>
        </w:rPr>
        <w:t>7 21 U.S.C. 387j(a)(2)。</w:t>
      </w:r>
    </w:p>
    <w:p w14:paraId="0C1EF831" w14:textId="77777777" w:rsidR="00B51A46" w:rsidRPr="00C47326" w:rsidRDefault="00B51A46" w:rsidP="00B51A46">
      <w:pPr>
        <w:pStyle w:val="Compact"/>
        <w:jc w:val="both"/>
        <w:rPr>
          <w:rFonts w:ascii="標楷體-繁" w:eastAsia="標楷體-繁" w:hAnsi="標楷體-繁"/>
          <w:color w:val="000000" w:themeColor="text1"/>
          <w:sz w:val="21"/>
          <w:szCs w:val="21"/>
        </w:rPr>
      </w:pPr>
      <w:r w:rsidRPr="00C47326">
        <w:rPr>
          <w:rFonts w:ascii="標楷體-繁" w:eastAsia="標楷體-繁" w:hAnsi="標楷體-繁" w:hint="eastAsia"/>
          <w:color w:val="000000" w:themeColor="text1"/>
          <w:sz w:val="21"/>
          <w:szCs w:val="21"/>
        </w:rPr>
        <w:t>8 21 U.S.C. 387j(c)(2)(A)。</w:t>
      </w:r>
    </w:p>
    <w:p w14:paraId="1B2421DB" w14:textId="77777777" w:rsidR="00B51A46" w:rsidRPr="00C47326" w:rsidRDefault="00B51A46" w:rsidP="00B51A46">
      <w:pPr>
        <w:pStyle w:val="Compact"/>
        <w:jc w:val="both"/>
        <w:rPr>
          <w:rFonts w:ascii="標楷體-繁" w:eastAsia="標楷體-繁" w:hAnsi="標楷體-繁"/>
          <w:color w:val="000000" w:themeColor="text1"/>
          <w:sz w:val="21"/>
          <w:szCs w:val="21"/>
        </w:rPr>
      </w:pPr>
      <w:r w:rsidRPr="00C47326">
        <w:rPr>
          <w:rFonts w:ascii="標楷體-繁" w:eastAsia="標楷體-繁" w:hAnsi="標楷體-繁" w:hint="eastAsia"/>
          <w:color w:val="000000" w:themeColor="text1"/>
          <w:sz w:val="21"/>
          <w:szCs w:val="21"/>
        </w:rPr>
        <w:t>9 21 U.S.C. 387j(c)(4)。</w:t>
      </w:r>
    </w:p>
    <w:p w14:paraId="6277D690" w14:textId="5FF87C9E" w:rsidR="00091A37" w:rsidRDefault="00B51A46" w:rsidP="00AE6250">
      <w:pPr>
        <w:pStyle w:val="Compact"/>
        <w:jc w:val="both"/>
        <w:rPr>
          <w:rFonts w:ascii="標楷體-繁" w:eastAsia="標楷體-繁" w:hAnsi="標楷體-繁"/>
          <w:color w:val="000000" w:themeColor="text1"/>
        </w:rPr>
      </w:pPr>
      <w:r w:rsidRPr="00C47326">
        <w:rPr>
          <w:rFonts w:ascii="標楷體-繁" w:eastAsia="標楷體-繁" w:hAnsi="標楷體-繁" w:hint="eastAsia"/>
          <w:color w:val="000000" w:themeColor="text1"/>
          <w:sz w:val="21"/>
          <w:szCs w:val="21"/>
        </w:rPr>
        <w:t>10 21 U.S.C. 387j(c)(4)(A) and (B)。</w:t>
      </w:r>
      <w:r w:rsidR="00091A37">
        <w:rPr>
          <w:rFonts w:ascii="標楷體-繁" w:eastAsia="標楷體-繁" w:hAnsi="標楷體-繁"/>
          <w:color w:val="000000" w:themeColor="text1"/>
        </w:rPr>
        <w:br w:type="page"/>
      </w:r>
    </w:p>
    <w:p w14:paraId="311137D3" w14:textId="170BFE5B" w:rsidR="00AE6250" w:rsidRPr="00AE6250" w:rsidRDefault="00AE6250" w:rsidP="00AE6250">
      <w:pPr>
        <w:pStyle w:val="Compact"/>
        <w:jc w:val="center"/>
        <w:rPr>
          <w:rFonts w:ascii="標楷體-繁" w:eastAsia="標楷體-繁" w:hAnsi="標楷體-繁"/>
          <w:b/>
          <w:bCs/>
          <w:color w:val="000000" w:themeColor="text1"/>
        </w:rPr>
      </w:pPr>
      <w:r w:rsidRPr="00AE6250">
        <w:rPr>
          <w:rFonts w:ascii="標楷體-繁" w:eastAsia="標楷體-繁" w:hAnsi="標楷體-繁" w:hint="eastAsia"/>
          <w:b/>
          <w:bCs/>
          <w:color w:val="000000" w:themeColor="text1"/>
        </w:rPr>
        <w:lastRenderedPageBreak/>
        <w:t>含非約束性建議</w:t>
      </w:r>
    </w:p>
    <w:p w14:paraId="7C97762F" w14:textId="77777777" w:rsidR="00AE6250" w:rsidRPr="00AE6250" w:rsidRDefault="00AE6250" w:rsidP="00AE6250">
      <w:pPr>
        <w:pStyle w:val="Compact"/>
        <w:jc w:val="both"/>
        <w:rPr>
          <w:rFonts w:ascii="標楷體-繁" w:eastAsia="標楷體-繁" w:hAnsi="標楷體-繁"/>
          <w:color w:val="000000" w:themeColor="text1"/>
        </w:rPr>
      </w:pPr>
    </w:p>
    <w:p w14:paraId="599DF5CA" w14:textId="77777777" w:rsidR="00AE6250" w:rsidRPr="00AE6250" w:rsidRDefault="00AE6250" w:rsidP="00AE6250">
      <w:pPr>
        <w:pStyle w:val="Compact"/>
        <w:jc w:val="both"/>
        <w:rPr>
          <w:rFonts w:ascii="標楷體-繁" w:eastAsia="標楷體-繁" w:hAnsi="標楷體-繁"/>
          <w:color w:val="000000" w:themeColor="text1"/>
        </w:rPr>
      </w:pPr>
      <w:r w:rsidRPr="00AE6250">
        <w:rPr>
          <w:rFonts w:ascii="標楷體-繁" w:eastAsia="標楷體-繁" w:hAnsi="標楷體-繁" w:hint="eastAsia"/>
          <w:color w:val="000000" w:themeColor="text1"/>
        </w:rPr>
        <w:t>此外，如本文件第 III.C 節所述，FDA 亦考量新型裝置存取技術，以評估新菸草產品是否符合 APPH。11</w:t>
      </w:r>
    </w:p>
    <w:p w14:paraId="1BEB2505" w14:textId="77777777" w:rsidR="00AE6250" w:rsidRPr="00AE6250" w:rsidRDefault="00AE6250" w:rsidP="00AE6250">
      <w:pPr>
        <w:pStyle w:val="Compact"/>
        <w:jc w:val="both"/>
        <w:rPr>
          <w:rFonts w:ascii="標楷體-繁" w:eastAsia="標楷體-繁" w:hAnsi="標楷體-繁"/>
          <w:color w:val="000000" w:themeColor="text1"/>
        </w:rPr>
      </w:pPr>
    </w:p>
    <w:p w14:paraId="26F7F41B" w14:textId="77777777" w:rsidR="00AE6250" w:rsidRPr="00AE6250" w:rsidRDefault="00AE6250" w:rsidP="00AE6250">
      <w:pPr>
        <w:pStyle w:val="Compact"/>
        <w:jc w:val="both"/>
        <w:rPr>
          <w:rFonts w:ascii="標楷體-繁" w:eastAsia="標楷體-繁" w:hAnsi="標楷體-繁"/>
          <w:color w:val="000000" w:themeColor="text1"/>
        </w:rPr>
      </w:pPr>
      <w:r w:rsidRPr="00AE6250">
        <w:rPr>
          <w:rFonts w:ascii="標楷體-繁" w:eastAsia="標楷體-繁" w:hAnsi="標楷體-繁" w:hint="eastAsia"/>
          <w:color w:val="000000" w:themeColor="text1"/>
        </w:rPr>
        <w:t>11 FDA 亦會考量申請人是否已就產品設計、化學性質、穩定性、製造控制（包括製程控制與品質保證程序）、毒理學、濫用責任，以及其他可能影響產品風險與利益之因素（包括相較於市面上其他菸草產品者）提供充分資訊。若申請人未提供 FDA 完整評估產品風險與利益所需之資訊，則表示申請人未能履行其法定舉證責任，無法證明該產品之效益大於風險。</w:t>
      </w:r>
    </w:p>
    <w:p w14:paraId="115C67A2" w14:textId="77777777" w:rsidR="00AE6250" w:rsidRPr="00AE6250" w:rsidRDefault="00AE6250" w:rsidP="00AE6250">
      <w:pPr>
        <w:pStyle w:val="Compact"/>
        <w:jc w:val="both"/>
        <w:rPr>
          <w:rFonts w:ascii="標楷體-繁" w:eastAsia="標楷體-繁" w:hAnsi="標楷體-繁"/>
          <w:color w:val="000000" w:themeColor="text1"/>
        </w:rPr>
      </w:pPr>
    </w:p>
    <w:p w14:paraId="210071B1" w14:textId="77777777" w:rsidR="00AE6250" w:rsidRPr="00AE6250" w:rsidRDefault="00AE6250" w:rsidP="00AE6250">
      <w:pPr>
        <w:pStyle w:val="Compact"/>
        <w:jc w:val="both"/>
        <w:rPr>
          <w:rFonts w:ascii="標楷體-繁" w:eastAsia="標楷體-繁" w:hAnsi="標楷體-繁"/>
          <w:color w:val="000000" w:themeColor="text1"/>
        </w:rPr>
      </w:pPr>
      <w:r w:rsidRPr="00AE6250">
        <w:rPr>
          <w:rFonts w:ascii="標楷體-繁" w:eastAsia="標楷體-繁" w:hAnsi="標楷體-繁" w:hint="eastAsia"/>
          <w:color w:val="000000" w:themeColor="text1"/>
        </w:rPr>
        <w:t>在判定允許新菸草產品上市是否將對公共衛生產生淨效益時，FDA 會將潛在之負面健康影響（例如非使用者，尤其是青少年，因起始使用與使用而受到之危害）與潛在之正面公共衛生成果加以權衡。FDA 對新產品可能效果之判定，在「適當時」，必須以「良好控制之研究」為基礎。12 但若此類證據「存在」且「足以評估該菸草產品」，則本機關得依賴「良好控制之研究」以外之「有效科學證據」。13</w:t>
      </w:r>
    </w:p>
    <w:p w14:paraId="3496A429" w14:textId="77777777" w:rsidR="00AE6250" w:rsidRPr="00AE6250" w:rsidRDefault="00AE6250" w:rsidP="00AE6250">
      <w:pPr>
        <w:pStyle w:val="Compact"/>
        <w:jc w:val="both"/>
        <w:rPr>
          <w:rFonts w:ascii="標楷體-繁" w:eastAsia="標楷體-繁" w:hAnsi="標楷體-繁"/>
          <w:color w:val="000000" w:themeColor="text1"/>
        </w:rPr>
      </w:pPr>
    </w:p>
    <w:p w14:paraId="12249356" w14:textId="77777777" w:rsidR="00AE6250" w:rsidRPr="00AE6250" w:rsidRDefault="00AE6250" w:rsidP="00AE6250">
      <w:pPr>
        <w:pStyle w:val="Compact"/>
        <w:jc w:val="both"/>
        <w:rPr>
          <w:rFonts w:ascii="標楷體-繁" w:eastAsia="標楷體-繁" w:hAnsi="標楷體-繁"/>
          <w:color w:val="000000" w:themeColor="text1"/>
        </w:rPr>
      </w:pPr>
      <w:r w:rsidRPr="00AE6250">
        <w:rPr>
          <w:rFonts w:ascii="標楷體-繁" w:eastAsia="標楷體-繁" w:hAnsi="標楷體-繁" w:hint="eastAsia"/>
          <w:color w:val="000000" w:themeColor="text1"/>
        </w:rPr>
        <w:t>III. 討論</w:t>
      </w:r>
    </w:p>
    <w:p w14:paraId="203506F0" w14:textId="77777777" w:rsidR="00AE6250" w:rsidRPr="00AE6250" w:rsidRDefault="00AE6250" w:rsidP="00AE6250">
      <w:pPr>
        <w:pStyle w:val="Compact"/>
        <w:jc w:val="both"/>
        <w:rPr>
          <w:rFonts w:ascii="標楷體-繁" w:eastAsia="標楷體-繁" w:hAnsi="標楷體-繁"/>
          <w:color w:val="000000" w:themeColor="text1"/>
        </w:rPr>
      </w:pPr>
    </w:p>
    <w:p w14:paraId="2D57DD9C" w14:textId="37378AFC" w:rsidR="00AE6250" w:rsidRDefault="00AE6250" w:rsidP="00AE6250">
      <w:pPr>
        <w:pStyle w:val="Compact"/>
        <w:jc w:val="both"/>
        <w:rPr>
          <w:rFonts w:ascii="標楷體-繁" w:eastAsia="標楷體-繁" w:hAnsi="標楷體-繁"/>
          <w:color w:val="000000" w:themeColor="text1"/>
        </w:rPr>
      </w:pPr>
      <w:r w:rsidRPr="00AE6250">
        <w:rPr>
          <w:rFonts w:ascii="標楷體-繁" w:eastAsia="標楷體-繁" w:hAnsi="標楷體-繁" w:hint="eastAsia"/>
          <w:color w:val="000000" w:themeColor="text1"/>
        </w:rPr>
        <w:t>對青少年具有吸引力之水果及糖果／甜點／其他甜味 ENDS 產品，構成重大公共衛生風險。14 鑑於此類產品對美國青少年造成之重大公共衛生風險，這些產品因此須承擔相對應之高度舉證負擔，以證明其對成年吸菸者在戒菸或顯著減少香菸使用方面之利益，大於青少年起始使用與使用之風險。值得注意的是，雖然菸草味與薄荷醇味 ENDS 產品已獲 PMTA 上市命令核准，但 FDA 尚未發現任何對青少年高度具吸引力之風味 ENDS 產品，其申請人所提出之公共衛生利益證據程度足以克服對青少年之風險。15</w:t>
      </w:r>
    </w:p>
    <w:p w14:paraId="68DBB3FF" w14:textId="4F951E4B" w:rsidR="00AE6250" w:rsidRDefault="00AE6250" w:rsidP="00AE6250">
      <w:pPr>
        <w:pStyle w:val="Compact"/>
        <w:jc w:val="both"/>
        <w:rPr>
          <w:rFonts w:ascii="標楷體-繁" w:eastAsia="標楷體-繁" w:hAnsi="標楷體-繁"/>
          <w:color w:val="000000" w:themeColor="text1"/>
        </w:rPr>
      </w:pPr>
    </w:p>
    <w:p w14:paraId="26B8093A" w14:textId="22694AEA" w:rsidR="00AE6250" w:rsidRPr="00AE6250" w:rsidRDefault="00AE6250" w:rsidP="00AE6250">
      <w:pPr>
        <w:pStyle w:val="Compact"/>
        <w:jc w:val="both"/>
        <w:rPr>
          <w:rFonts w:ascii="標楷體-繁" w:eastAsia="標楷體-繁" w:hAnsi="標楷體-繁"/>
          <w:color w:val="000000" w:themeColor="text1"/>
        </w:rPr>
      </w:pPr>
      <w:r w:rsidRPr="00AE6250">
        <w:rPr>
          <w:rFonts w:ascii="標楷體-繁" w:eastAsia="標楷體-繁" w:hAnsi="標楷體-繁" w:hint="eastAsia"/>
          <w:color w:val="000000" w:themeColor="text1"/>
        </w:rPr>
        <w:t>作為 FDA PMTA ENDS 評估之一部分，FDA 會評估與新菸草產品相關之一系列菸草使用行為中，非使用者起始使用與使用者戒用之可能性（例如從未使用者與前使用者之起始使用；從可燃式香菸完全轉換；完全停止使用可燃式菸草；雙重使用；前吸菸者復發；減少使用；以及持續戒除）。FDA 亦評估脆弱族群——包括青少年、年輕成年人及其他高風險群體——可能開始使用該產品之可能性。</w:t>
      </w:r>
    </w:p>
    <w:p w14:paraId="1EDD7AE6" w14:textId="21CDC92C" w:rsidR="00AE6250" w:rsidRDefault="00AE6250" w:rsidP="00AE6250">
      <w:pPr>
        <w:pStyle w:val="Compact"/>
        <w:jc w:val="both"/>
        <w:rPr>
          <w:rFonts w:ascii="標楷體-繁" w:eastAsia="標楷體-繁" w:hAnsi="標楷體-繁"/>
          <w:color w:val="000000" w:themeColor="text1"/>
        </w:rPr>
      </w:pPr>
    </w:p>
    <w:p w14:paraId="41FD59B5" w14:textId="77777777" w:rsidR="00AE6250" w:rsidRPr="00C47326" w:rsidRDefault="00AE6250" w:rsidP="00AE6250">
      <w:pPr>
        <w:pStyle w:val="Compact"/>
        <w:jc w:val="both"/>
        <w:rPr>
          <w:rFonts w:ascii="標楷體-繁" w:eastAsia="標楷體-繁" w:hAnsi="標楷體-繁"/>
          <w:color w:val="000000" w:themeColor="text1"/>
          <w:sz w:val="21"/>
          <w:szCs w:val="21"/>
        </w:rPr>
      </w:pPr>
      <w:r w:rsidRPr="00C47326">
        <w:rPr>
          <w:rFonts w:ascii="標楷體-繁" w:eastAsia="標楷體-繁" w:hAnsi="標楷體-繁" w:hint="eastAsia"/>
          <w:color w:val="000000" w:themeColor="text1"/>
          <w:sz w:val="21"/>
          <w:szCs w:val="21"/>
        </w:rPr>
        <w:t>12 21 U.S.C. 387j(c)(5)(A)。</w:t>
      </w:r>
    </w:p>
    <w:p w14:paraId="6EAB703A" w14:textId="260E939F" w:rsidR="00AE6250" w:rsidRPr="00C47326" w:rsidRDefault="00AE6250" w:rsidP="00AE6250">
      <w:pPr>
        <w:pStyle w:val="Compact"/>
        <w:jc w:val="both"/>
        <w:rPr>
          <w:rFonts w:ascii="標楷體-繁" w:eastAsia="標楷體-繁" w:hAnsi="標楷體-繁"/>
          <w:color w:val="000000" w:themeColor="text1"/>
          <w:sz w:val="21"/>
          <w:szCs w:val="21"/>
        </w:rPr>
      </w:pPr>
      <w:r w:rsidRPr="00C47326">
        <w:rPr>
          <w:rFonts w:ascii="標楷體-繁" w:eastAsia="標楷體-繁" w:hAnsi="標楷體-繁" w:hint="eastAsia"/>
          <w:color w:val="000000" w:themeColor="text1"/>
          <w:sz w:val="21"/>
          <w:szCs w:val="21"/>
        </w:rPr>
        <w:t>13 21 U.S.C. 387j(c)(5)(B)。</w:t>
      </w:r>
    </w:p>
    <w:p w14:paraId="3FF3F44E" w14:textId="18420146" w:rsidR="00AE6250" w:rsidRPr="00C47326" w:rsidRDefault="00AE6250" w:rsidP="00AE6250">
      <w:pPr>
        <w:pStyle w:val="Compact"/>
        <w:jc w:val="both"/>
        <w:rPr>
          <w:rFonts w:ascii="標楷體-繁" w:eastAsia="標楷體-繁" w:hAnsi="標楷體-繁"/>
          <w:color w:val="000000" w:themeColor="text1"/>
          <w:sz w:val="21"/>
          <w:szCs w:val="21"/>
        </w:rPr>
      </w:pPr>
      <w:r w:rsidRPr="00C47326">
        <w:rPr>
          <w:rFonts w:ascii="標楷體-繁" w:eastAsia="標楷體-繁" w:hAnsi="標楷體-繁" w:hint="eastAsia"/>
          <w:color w:val="000000" w:themeColor="text1"/>
          <w:sz w:val="21"/>
          <w:szCs w:val="21"/>
        </w:rPr>
        <w:t>14 Park-Lee, E., A. Jamal, H. Cowan, et al. "Notes from the Field: E-Cigarette and Nicotine Pouch Use Among Middle and High School Students—United States, 2024." Morbidity and Mortality Weekly Report 73 (2024): 774–778. 網址：https://doi.org/10.15585/mmwr.mm7335a3。</w:t>
      </w:r>
    </w:p>
    <w:p w14:paraId="0CF01DD8" w14:textId="77777777" w:rsidR="00AE6250" w:rsidRPr="00C47326" w:rsidRDefault="00AE6250" w:rsidP="00AE6250">
      <w:pPr>
        <w:pStyle w:val="Compact"/>
        <w:jc w:val="both"/>
        <w:rPr>
          <w:rFonts w:ascii="標楷體-繁" w:eastAsia="標楷體-繁" w:hAnsi="標楷體-繁"/>
          <w:color w:val="000000" w:themeColor="text1"/>
          <w:sz w:val="21"/>
          <w:szCs w:val="21"/>
        </w:rPr>
      </w:pPr>
      <w:r w:rsidRPr="00C47326">
        <w:rPr>
          <w:rFonts w:ascii="標楷體-繁" w:eastAsia="標楷體-繁" w:hAnsi="標楷體-繁" w:hint="eastAsia"/>
          <w:color w:val="000000" w:themeColor="text1"/>
          <w:sz w:val="21"/>
          <w:szCs w:val="21"/>
        </w:rPr>
        <w:lastRenderedPageBreak/>
        <w:t>15 FDA 的「可搜尋菸草產品資料庫」（Searchable Tobacco Products Database）https://www.accessdata.fda.gov/scripts/searchtobacco/</w:t>
      </w:r>
    </w:p>
    <w:p w14:paraId="4BEBF878" w14:textId="72B5A236" w:rsidR="00091A37" w:rsidRPr="00C47326" w:rsidRDefault="00AE6250" w:rsidP="00AE6250">
      <w:pPr>
        <w:pStyle w:val="Compact"/>
        <w:jc w:val="both"/>
        <w:rPr>
          <w:rFonts w:ascii="標楷體-繁" w:eastAsia="標楷體-繁" w:hAnsi="標楷體-繁"/>
          <w:color w:val="000000" w:themeColor="text1"/>
          <w:sz w:val="21"/>
          <w:szCs w:val="21"/>
        </w:rPr>
      </w:pPr>
      <w:r w:rsidRPr="00C47326">
        <w:rPr>
          <w:rFonts w:ascii="標楷體-繁" w:eastAsia="標楷體-繁" w:hAnsi="標楷體-繁" w:hint="eastAsia"/>
          <w:color w:val="000000" w:themeColor="text1"/>
          <w:sz w:val="21"/>
          <w:szCs w:val="21"/>
        </w:rPr>
        <w:t xml:space="preserve"> 含有經 FDA 核准上市之菸草產品資訊。</w:t>
      </w:r>
    </w:p>
    <w:p w14:paraId="6C12F1B0" w14:textId="77777777" w:rsidR="00091A37" w:rsidRDefault="00091A37">
      <w:pPr>
        <w:rPr>
          <w:rFonts w:ascii="標楷體-繁" w:eastAsia="標楷體-繁" w:hAnsi="標楷體-繁"/>
          <w:color w:val="000000" w:themeColor="text1"/>
        </w:rPr>
      </w:pPr>
      <w:r>
        <w:rPr>
          <w:rFonts w:ascii="標楷體-繁" w:eastAsia="標楷體-繁" w:hAnsi="標楷體-繁"/>
          <w:color w:val="000000" w:themeColor="text1"/>
        </w:rPr>
        <w:br w:type="page"/>
      </w:r>
    </w:p>
    <w:p w14:paraId="0B6167C4" w14:textId="164C457A" w:rsidR="00091A37" w:rsidRPr="00D30E3C" w:rsidRDefault="00AE6250" w:rsidP="00AE6250">
      <w:pPr>
        <w:pStyle w:val="Compact"/>
        <w:jc w:val="center"/>
        <w:rPr>
          <w:rFonts w:ascii="標楷體-繁" w:eastAsia="標楷體-繁" w:hAnsi="標楷體-繁"/>
          <w:b/>
          <w:bCs/>
          <w:color w:val="000000" w:themeColor="text1"/>
        </w:rPr>
      </w:pPr>
      <w:r w:rsidRPr="00D30E3C">
        <w:rPr>
          <w:rFonts w:ascii="標楷體-繁" w:eastAsia="標楷體-繁" w:hAnsi="標楷體-繁" w:hint="eastAsia"/>
          <w:b/>
          <w:bCs/>
          <w:color w:val="000000" w:themeColor="text1"/>
        </w:rPr>
        <w:lastRenderedPageBreak/>
        <w:t>含非約束性建議</w:t>
      </w:r>
    </w:p>
    <w:p w14:paraId="07121B1C" w14:textId="5CA6C714" w:rsidR="00AE6250" w:rsidRDefault="00AE6250" w:rsidP="006B79D7">
      <w:pPr>
        <w:pStyle w:val="Compact"/>
        <w:jc w:val="both"/>
        <w:rPr>
          <w:rFonts w:ascii="標楷體-繁" w:eastAsia="標楷體-繁" w:hAnsi="標楷體-繁"/>
          <w:color w:val="000000" w:themeColor="text1"/>
        </w:rPr>
      </w:pPr>
    </w:p>
    <w:p w14:paraId="3347946E" w14:textId="77777777" w:rsidR="00AE6250" w:rsidRPr="00AE6250" w:rsidRDefault="00AE6250" w:rsidP="00AE6250">
      <w:pPr>
        <w:pStyle w:val="Compact"/>
        <w:jc w:val="both"/>
        <w:rPr>
          <w:rFonts w:ascii="標楷體-繁" w:eastAsia="標楷體-繁" w:hAnsi="標楷體-繁"/>
          <w:color w:val="000000" w:themeColor="text1"/>
        </w:rPr>
      </w:pPr>
      <w:r w:rsidRPr="00AE6250">
        <w:rPr>
          <w:rFonts w:ascii="標楷體-繁" w:eastAsia="標楷體-繁" w:hAnsi="標楷體-繁" w:hint="eastAsia"/>
          <w:color w:val="000000" w:themeColor="text1"/>
        </w:rPr>
        <w:t>在 FDA 的 PMTA ENDS 評估中，FDA 會考量可取得之資訊，其中可能包括已發表文獻、申請人自行發起之研究，以及其他評估 ENDS 產品對相關行為結果（包括起始使用、轉換、戒用、雙重使用、復發、減量及持續戒除）於現有菸草使用者之影響，以及非使用者之起始使用的科學證據。此類證據可能包括隨機對照試驗，以及檢視真實世界使用型態、認知與行為結果之觀察研究。16 若研究涉及與申請人產品相同或充分相似之產品，申請人應提出科學理由，以支持該等比較之相關性與適用性。FDA 亦會評估更廣泛之科學資訊，包括但不限於同儕審查文獻，以及與前述結果有關之產品特定觀察與實驗資料。</w:t>
      </w:r>
    </w:p>
    <w:p w14:paraId="05D52ECE" w14:textId="77777777" w:rsidR="00AE6250" w:rsidRPr="00AE6250" w:rsidRDefault="00AE6250" w:rsidP="00AE6250">
      <w:pPr>
        <w:pStyle w:val="Compact"/>
        <w:jc w:val="both"/>
        <w:rPr>
          <w:rFonts w:ascii="標楷體-繁" w:eastAsia="標楷體-繁" w:hAnsi="標楷體-繁"/>
          <w:color w:val="000000" w:themeColor="text1"/>
        </w:rPr>
      </w:pPr>
    </w:p>
    <w:p w14:paraId="5E714DEE" w14:textId="77777777" w:rsidR="00AE6250" w:rsidRPr="00251D92" w:rsidRDefault="00AE6250" w:rsidP="00AE6250">
      <w:pPr>
        <w:pStyle w:val="Compact"/>
        <w:jc w:val="both"/>
        <w:rPr>
          <w:rFonts w:ascii="標楷體-繁" w:eastAsia="標楷體-繁" w:hAnsi="標楷體-繁"/>
          <w:b/>
          <w:bCs/>
          <w:color w:val="000000" w:themeColor="text1"/>
        </w:rPr>
      </w:pPr>
      <w:r w:rsidRPr="00251D92">
        <w:rPr>
          <w:rFonts w:ascii="標楷體-繁" w:eastAsia="標楷體-繁" w:hAnsi="標楷體-繁" w:hint="eastAsia"/>
          <w:b/>
          <w:bCs/>
          <w:color w:val="000000" w:themeColor="text1"/>
        </w:rPr>
        <w:t>A. 加味 ENDS 在青少年使用與起始使用中日益升高的角色</w:t>
      </w:r>
    </w:p>
    <w:p w14:paraId="3BC78D09" w14:textId="77777777" w:rsidR="00AE6250" w:rsidRPr="00AE6250" w:rsidRDefault="00AE6250" w:rsidP="00AE6250">
      <w:pPr>
        <w:pStyle w:val="Compact"/>
        <w:jc w:val="both"/>
        <w:rPr>
          <w:rFonts w:ascii="標楷體-繁" w:eastAsia="標楷體-繁" w:hAnsi="標楷體-繁"/>
          <w:color w:val="000000" w:themeColor="text1"/>
        </w:rPr>
      </w:pPr>
    </w:p>
    <w:p w14:paraId="29AF20ED" w14:textId="1DF8CE74" w:rsidR="00AE6250" w:rsidRDefault="00AE6250" w:rsidP="00C47326">
      <w:pPr>
        <w:pStyle w:val="Compact"/>
        <w:jc w:val="both"/>
        <w:rPr>
          <w:rFonts w:ascii="標楷體-繁" w:eastAsia="標楷體-繁" w:hAnsi="標楷體-繁"/>
          <w:color w:val="000000" w:themeColor="text1"/>
        </w:rPr>
      </w:pPr>
      <w:r w:rsidRPr="00AE6250">
        <w:rPr>
          <w:rFonts w:ascii="標楷體-繁" w:eastAsia="標楷體-繁" w:hAnsi="標楷體-繁" w:hint="eastAsia"/>
          <w:color w:val="000000" w:themeColor="text1"/>
        </w:rPr>
        <w:t>根據全國青少年菸草調查（National Youth Tobacco Survey, NYTS），青少年目前電子煙使用在 2017 年至 2019 年間急遽增加，高中生電子煙使用率從 2017 年的 11.7% 上升至 2019 年的 27.5%，而國中與高中學生的整體使用率在此期間增加超過一倍。17,18 2017 年，FDA 因有關 ENDS 產品之申訴顯著增加而作出回應。FDA 對這些申訴展開調查，而其中大多數涉及未成年人取得與使用此類產品。</w:t>
      </w:r>
    </w:p>
    <w:p w14:paraId="30151415" w14:textId="6D150A09" w:rsidR="00251D92" w:rsidRDefault="00251D92">
      <w:pPr>
        <w:rPr>
          <w:rFonts w:ascii="標楷體-繁" w:eastAsia="標楷體-繁" w:hAnsi="標楷體-繁"/>
          <w:color w:val="000000" w:themeColor="text1"/>
        </w:rPr>
      </w:pPr>
      <w:r w:rsidRPr="00251D92">
        <w:rPr>
          <w:rFonts w:ascii="標楷體-繁" w:eastAsia="標楷體-繁" w:hAnsi="標楷體-繁" w:hint="eastAsia"/>
          <w:color w:val="000000" w:themeColor="text1"/>
        </w:rPr>
        <w:t>加味 ENDS 產品在此一激增中扮演主要角色，因多數青少年使用者表示其使用水果風味，19,20 且超過四分之三表示，如果沒有加味選項，他們就不會使用電子煙。21 FDA 當時並且現在仍然對加味 ENDS 產品在青少年中的異常高度流行感到憂慮。研究早已顯示，風味會增加菸草產品（包括 ENDS）對青少年之吸引力。22</w:t>
      </w:r>
    </w:p>
    <w:p w14:paraId="5B2EE990" w14:textId="77777777" w:rsidR="00C47326" w:rsidRDefault="00C47326">
      <w:pPr>
        <w:rPr>
          <w:rFonts w:ascii="標楷體-繁" w:eastAsia="標楷體-繁" w:hAnsi="標楷體-繁"/>
          <w:color w:val="000000" w:themeColor="text1"/>
        </w:rPr>
      </w:pPr>
    </w:p>
    <w:p w14:paraId="3E8EDBEB" w14:textId="022416FF" w:rsidR="00AE6250" w:rsidRPr="00C47326" w:rsidRDefault="00AE6250" w:rsidP="00AE6250">
      <w:pPr>
        <w:pStyle w:val="Compact"/>
        <w:rPr>
          <w:rFonts w:ascii="標楷體-繁" w:eastAsia="標楷體-繁" w:hAnsi="標楷體-繁"/>
          <w:color w:val="000000" w:themeColor="text1"/>
          <w:sz w:val="21"/>
          <w:szCs w:val="21"/>
        </w:rPr>
      </w:pPr>
      <w:r w:rsidRPr="00C47326">
        <w:rPr>
          <w:rFonts w:ascii="標楷體-繁" w:eastAsia="標楷體-繁" w:hAnsi="標楷體-繁" w:hint="eastAsia"/>
          <w:color w:val="000000" w:themeColor="text1"/>
          <w:sz w:val="21"/>
          <w:szCs w:val="21"/>
        </w:rPr>
        <w:t>16 有關 FDA 對研究之期待範例，請參見其他 FDA 指引，包括 U.S. Food &amp; Drug Administration, Premarket Tobacco Product Applications for Electronic Nicotine Delivery Systems (ENDS): Guidance for Industry（Center for Tobacco Products, 2023 年 3 月），網址：</w:t>
      </w:r>
      <w:r w:rsidRPr="00C47326">
        <w:rPr>
          <w:rFonts w:ascii="標楷體-繁" w:eastAsia="標楷體-繁" w:hAnsi="標楷體-繁"/>
          <w:color w:val="000000" w:themeColor="text1"/>
          <w:sz w:val="21"/>
          <w:szCs w:val="21"/>
        </w:rPr>
        <w:fldChar w:fldCharType="begin"/>
      </w:r>
      <w:r w:rsidRPr="00C47326">
        <w:rPr>
          <w:rFonts w:ascii="標楷體-繁" w:eastAsia="標楷體-繁" w:hAnsi="標楷體-繁"/>
          <w:color w:val="000000" w:themeColor="text1"/>
          <w:sz w:val="21"/>
          <w:szCs w:val="21"/>
        </w:rPr>
        <w:instrText xml:space="preserve"> </w:instrText>
      </w:r>
      <w:r w:rsidRPr="00C47326">
        <w:rPr>
          <w:rFonts w:ascii="標楷體-繁" w:eastAsia="標楷體-繁" w:hAnsi="標楷體-繁" w:hint="eastAsia"/>
          <w:color w:val="000000" w:themeColor="text1"/>
          <w:sz w:val="21"/>
          <w:szCs w:val="21"/>
        </w:rPr>
        <w:instrText>HYPERLINK "https://www.fda.gov/tobacco-products/rules-regulations-and-guidance/guidance"</w:instrText>
      </w:r>
      <w:r w:rsidRPr="00C47326">
        <w:rPr>
          <w:rFonts w:ascii="標楷體-繁" w:eastAsia="標楷體-繁" w:hAnsi="標楷體-繁"/>
          <w:color w:val="000000" w:themeColor="text1"/>
          <w:sz w:val="21"/>
          <w:szCs w:val="21"/>
        </w:rPr>
        <w:instrText xml:space="preserve"> </w:instrText>
      </w:r>
      <w:r w:rsidRPr="00C47326">
        <w:rPr>
          <w:rFonts w:ascii="標楷體-繁" w:eastAsia="標楷體-繁" w:hAnsi="標楷體-繁"/>
          <w:color w:val="000000" w:themeColor="text1"/>
          <w:sz w:val="21"/>
          <w:szCs w:val="21"/>
        </w:rPr>
        <w:fldChar w:fldCharType="separate"/>
      </w:r>
      <w:r w:rsidRPr="00C47326">
        <w:rPr>
          <w:rStyle w:val="af"/>
          <w:rFonts w:ascii="標楷體-繁" w:eastAsia="標楷體-繁" w:hAnsi="標楷體-繁" w:hint="eastAsia"/>
          <w:sz w:val="21"/>
          <w:szCs w:val="21"/>
        </w:rPr>
        <w:t>https://www.fda.gov/tobacco-products/rules-regulations-and-guidance/guidance</w:t>
      </w:r>
      <w:r w:rsidRPr="00C47326">
        <w:rPr>
          <w:rFonts w:ascii="標楷體-繁" w:eastAsia="標楷體-繁" w:hAnsi="標楷體-繁"/>
          <w:color w:val="000000" w:themeColor="text1"/>
          <w:sz w:val="21"/>
          <w:szCs w:val="21"/>
        </w:rPr>
        <w:fldChar w:fldCharType="end"/>
      </w:r>
      <w:r w:rsidRPr="00C47326">
        <w:rPr>
          <w:rFonts w:ascii="標楷體-繁" w:eastAsia="標楷體-繁" w:hAnsi="標楷體-繁" w:hint="eastAsia"/>
          <w:color w:val="000000" w:themeColor="text1"/>
          <w:sz w:val="21"/>
          <w:szCs w:val="21"/>
        </w:rPr>
        <w:t>。</w:t>
      </w:r>
    </w:p>
    <w:p w14:paraId="426FAE2F" w14:textId="675EEFF8" w:rsidR="00AE6250" w:rsidRPr="00C47326" w:rsidRDefault="00AE6250" w:rsidP="00AE6250">
      <w:pPr>
        <w:pStyle w:val="Compact"/>
        <w:rPr>
          <w:rFonts w:ascii="標楷體-繁" w:eastAsia="標楷體-繁" w:hAnsi="標楷體-繁"/>
          <w:color w:val="000000" w:themeColor="text1"/>
          <w:sz w:val="21"/>
          <w:szCs w:val="21"/>
        </w:rPr>
      </w:pPr>
      <w:r w:rsidRPr="00C47326">
        <w:rPr>
          <w:rFonts w:ascii="標楷體-繁" w:eastAsia="標楷體-繁" w:hAnsi="標楷體-繁"/>
          <w:color w:val="000000" w:themeColor="text1"/>
          <w:sz w:val="21"/>
          <w:szCs w:val="21"/>
        </w:rPr>
        <w:t xml:space="preserve">17 Cullen, K.A., B.K. Ambrose, A.S. </w:t>
      </w:r>
      <w:proofErr w:type="spellStart"/>
      <w:r w:rsidRPr="00C47326">
        <w:rPr>
          <w:rFonts w:ascii="標楷體-繁" w:eastAsia="標楷體-繁" w:hAnsi="標楷體-繁"/>
          <w:color w:val="000000" w:themeColor="text1"/>
          <w:sz w:val="21"/>
          <w:szCs w:val="21"/>
        </w:rPr>
        <w:t>Gentzke</w:t>
      </w:r>
      <w:proofErr w:type="spellEnd"/>
      <w:r w:rsidRPr="00C47326">
        <w:rPr>
          <w:rFonts w:ascii="標楷體-繁" w:eastAsia="標楷體-繁" w:hAnsi="標楷體-繁"/>
          <w:color w:val="000000" w:themeColor="text1"/>
          <w:sz w:val="21"/>
          <w:szCs w:val="21"/>
        </w:rPr>
        <w:t>, et al. "Notes from the Field: Use of Electronic Cigarettes and Any Tobacco Product Among Middle and High School Students – United States, 2011-2018." Morbidity and Mortality Weekly Report 67, no. 45 (2018): 1276</w:t>
      </w:r>
      <w:r w:rsidRPr="00C47326">
        <w:rPr>
          <w:rFonts w:ascii="標楷體-繁" w:eastAsia="標楷體-繁" w:hAnsi="標楷體-繁" w:hint="eastAsia"/>
          <w:color w:val="000000" w:themeColor="text1"/>
          <w:sz w:val="21"/>
          <w:szCs w:val="21"/>
        </w:rPr>
        <w:t>–1277. 網址：https://doi.org/10.15585/mmwr.mm6745a5。NYTS對電子煙之定義為：「電子煙是以電池供電之裝置，通常含有尼古丁液體，經霧化後吸入。」</w:t>
      </w:r>
    </w:p>
    <w:p w14:paraId="1AC453F4" w14:textId="517A0C87" w:rsidR="00AE6250" w:rsidRPr="00C47326" w:rsidRDefault="00AE6250" w:rsidP="00AE6250">
      <w:pPr>
        <w:pStyle w:val="Compact"/>
        <w:rPr>
          <w:rFonts w:ascii="標楷體-繁" w:eastAsia="標楷體-繁" w:hAnsi="標楷體-繁"/>
          <w:color w:val="000000" w:themeColor="text1"/>
          <w:sz w:val="21"/>
          <w:szCs w:val="21"/>
        </w:rPr>
      </w:pPr>
      <w:r w:rsidRPr="00C47326">
        <w:rPr>
          <w:rFonts w:ascii="標楷體-繁" w:eastAsia="標楷體-繁" w:hAnsi="標楷體-繁" w:hint="eastAsia"/>
          <w:color w:val="000000" w:themeColor="text1"/>
          <w:sz w:val="21"/>
          <w:szCs w:val="21"/>
        </w:rPr>
        <w:t xml:space="preserve">18 Cullen, K.A., A.S. </w:t>
      </w:r>
      <w:proofErr w:type="spellStart"/>
      <w:r w:rsidRPr="00C47326">
        <w:rPr>
          <w:rFonts w:ascii="標楷體-繁" w:eastAsia="標楷體-繁" w:hAnsi="標楷體-繁" w:hint="eastAsia"/>
          <w:color w:val="000000" w:themeColor="text1"/>
          <w:sz w:val="21"/>
          <w:szCs w:val="21"/>
        </w:rPr>
        <w:t>Gentzke</w:t>
      </w:r>
      <w:proofErr w:type="spellEnd"/>
      <w:r w:rsidRPr="00C47326">
        <w:rPr>
          <w:rFonts w:ascii="標楷體-繁" w:eastAsia="標楷體-繁" w:hAnsi="標楷體-繁" w:hint="eastAsia"/>
          <w:color w:val="000000" w:themeColor="text1"/>
          <w:sz w:val="21"/>
          <w:szCs w:val="21"/>
        </w:rPr>
        <w:t xml:space="preserve">, M.D. </w:t>
      </w:r>
      <w:proofErr w:type="spellStart"/>
      <w:r w:rsidRPr="00C47326">
        <w:rPr>
          <w:rFonts w:ascii="標楷體-繁" w:eastAsia="標楷體-繁" w:hAnsi="標楷體-繁" w:hint="eastAsia"/>
          <w:color w:val="000000" w:themeColor="text1"/>
          <w:sz w:val="21"/>
          <w:szCs w:val="21"/>
        </w:rPr>
        <w:t>Sawdey</w:t>
      </w:r>
      <w:proofErr w:type="spellEnd"/>
      <w:r w:rsidRPr="00C47326">
        <w:rPr>
          <w:rFonts w:ascii="標楷體-繁" w:eastAsia="標楷體-繁" w:hAnsi="標楷體-繁" w:hint="eastAsia"/>
          <w:color w:val="000000" w:themeColor="text1"/>
          <w:sz w:val="21"/>
          <w:szCs w:val="21"/>
        </w:rPr>
        <w:t>, et al. "E-Cigarette Use Among Youth in the United States, 2019." JAMA 322, no. 21 (2019): 2095–2103. 網址：https://doi.org/10.1001/jama.2019.18387。</w:t>
      </w:r>
    </w:p>
    <w:p w14:paraId="40859BB0" w14:textId="77777777" w:rsidR="00AE6250" w:rsidRPr="00C47326" w:rsidRDefault="00AE6250" w:rsidP="00AE6250">
      <w:pPr>
        <w:rPr>
          <w:rFonts w:ascii="標楷體-繁" w:eastAsia="標楷體-繁" w:hAnsi="標楷體-繁"/>
          <w:color w:val="000000" w:themeColor="text1"/>
          <w:sz w:val="21"/>
          <w:szCs w:val="21"/>
        </w:rPr>
      </w:pPr>
      <w:r w:rsidRPr="00C47326">
        <w:rPr>
          <w:rFonts w:ascii="標楷體-繁" w:eastAsia="標楷體-繁" w:hAnsi="標楷體-繁" w:hint="eastAsia"/>
          <w:color w:val="000000" w:themeColor="text1"/>
          <w:sz w:val="21"/>
          <w:szCs w:val="21"/>
        </w:rPr>
        <w:t>19 同上。</w:t>
      </w:r>
    </w:p>
    <w:p w14:paraId="0DFA4F24" w14:textId="05139E8C" w:rsidR="00251D92" w:rsidRPr="00C47326" w:rsidRDefault="00AE6250" w:rsidP="00AE6250">
      <w:pPr>
        <w:rPr>
          <w:rFonts w:ascii="標楷體-繁" w:eastAsia="標楷體-繁" w:hAnsi="標楷體-繁"/>
          <w:color w:val="000000" w:themeColor="text1"/>
          <w:sz w:val="21"/>
          <w:szCs w:val="21"/>
        </w:rPr>
      </w:pPr>
      <w:r w:rsidRPr="00C47326">
        <w:rPr>
          <w:rFonts w:ascii="標楷體-繁" w:eastAsia="標楷體-繁" w:hAnsi="標楷體-繁"/>
          <w:color w:val="000000" w:themeColor="text1"/>
          <w:sz w:val="21"/>
          <w:szCs w:val="21"/>
        </w:rPr>
        <w:t xml:space="preserve">20 Cullen, K.A., B.K. Ambrose, A.S. </w:t>
      </w:r>
      <w:proofErr w:type="spellStart"/>
      <w:r w:rsidRPr="00C47326">
        <w:rPr>
          <w:rFonts w:ascii="標楷體-繁" w:eastAsia="標楷體-繁" w:hAnsi="標楷體-繁"/>
          <w:color w:val="000000" w:themeColor="text1"/>
          <w:sz w:val="21"/>
          <w:szCs w:val="21"/>
        </w:rPr>
        <w:t>Gentzke</w:t>
      </w:r>
      <w:proofErr w:type="spellEnd"/>
      <w:r w:rsidRPr="00C47326">
        <w:rPr>
          <w:rFonts w:ascii="標楷體-繁" w:eastAsia="標楷體-繁" w:hAnsi="標楷體-繁"/>
          <w:color w:val="000000" w:themeColor="text1"/>
          <w:sz w:val="21"/>
          <w:szCs w:val="21"/>
        </w:rPr>
        <w:t>, et al. "Notes from the Field: Use of Electronic Cigarettes and Any Tobacco Product Among Middle and High School Students – United States, 2011-2018." Morbidity and Mortality Weekly Report 67, no. 45 (2018): 1276</w:t>
      </w:r>
      <w:r w:rsidRPr="00C47326">
        <w:rPr>
          <w:rFonts w:ascii="標楷體-繁" w:eastAsia="標楷體-繁" w:hAnsi="標楷體-繁" w:hint="eastAsia"/>
          <w:color w:val="000000" w:themeColor="text1"/>
          <w:sz w:val="21"/>
          <w:szCs w:val="21"/>
        </w:rPr>
        <w:t>–1277. 網址：</w:t>
      </w:r>
      <w:r w:rsidR="00251D92" w:rsidRPr="00C47326">
        <w:rPr>
          <w:rFonts w:ascii="標楷體-繁" w:eastAsia="標楷體-繁" w:hAnsi="標楷體-繁"/>
          <w:color w:val="000000" w:themeColor="text1"/>
          <w:sz w:val="21"/>
          <w:szCs w:val="21"/>
        </w:rPr>
        <w:fldChar w:fldCharType="begin"/>
      </w:r>
      <w:r w:rsidR="00251D92" w:rsidRPr="00C47326">
        <w:rPr>
          <w:rFonts w:ascii="標楷體-繁" w:eastAsia="標楷體-繁" w:hAnsi="標楷體-繁"/>
          <w:color w:val="000000" w:themeColor="text1"/>
          <w:sz w:val="21"/>
          <w:szCs w:val="21"/>
        </w:rPr>
        <w:instrText xml:space="preserve"> </w:instrText>
      </w:r>
      <w:r w:rsidR="00251D92" w:rsidRPr="00C47326">
        <w:rPr>
          <w:rFonts w:ascii="標楷體-繁" w:eastAsia="標楷體-繁" w:hAnsi="標楷體-繁" w:hint="eastAsia"/>
          <w:color w:val="000000" w:themeColor="text1"/>
          <w:sz w:val="21"/>
          <w:szCs w:val="21"/>
        </w:rPr>
        <w:instrText>HYPERLINK "https://doi.org/10.15585/mmwr.mm6745a5"</w:instrText>
      </w:r>
      <w:r w:rsidR="00251D92" w:rsidRPr="00C47326">
        <w:rPr>
          <w:rFonts w:ascii="標楷體-繁" w:eastAsia="標楷體-繁" w:hAnsi="標楷體-繁"/>
          <w:color w:val="000000" w:themeColor="text1"/>
          <w:sz w:val="21"/>
          <w:szCs w:val="21"/>
        </w:rPr>
        <w:instrText xml:space="preserve"> </w:instrText>
      </w:r>
      <w:r w:rsidR="00251D92" w:rsidRPr="00C47326">
        <w:rPr>
          <w:rFonts w:ascii="標楷體-繁" w:eastAsia="標楷體-繁" w:hAnsi="標楷體-繁"/>
          <w:color w:val="000000" w:themeColor="text1"/>
          <w:sz w:val="21"/>
          <w:szCs w:val="21"/>
        </w:rPr>
        <w:fldChar w:fldCharType="separate"/>
      </w:r>
      <w:r w:rsidR="00251D92" w:rsidRPr="00C47326">
        <w:rPr>
          <w:rStyle w:val="af"/>
          <w:rFonts w:ascii="標楷體-繁" w:eastAsia="標楷體-繁" w:hAnsi="標楷體-繁" w:hint="eastAsia"/>
          <w:sz w:val="21"/>
          <w:szCs w:val="21"/>
        </w:rPr>
        <w:t>https://doi.org/10.15585/mmwr.mm6745a5</w:t>
      </w:r>
      <w:r w:rsidR="00251D92" w:rsidRPr="00C47326">
        <w:rPr>
          <w:rFonts w:ascii="標楷體-繁" w:eastAsia="標楷體-繁" w:hAnsi="標楷體-繁"/>
          <w:color w:val="000000" w:themeColor="text1"/>
          <w:sz w:val="21"/>
          <w:szCs w:val="21"/>
        </w:rPr>
        <w:fldChar w:fldCharType="end"/>
      </w:r>
      <w:r w:rsidRPr="00C47326">
        <w:rPr>
          <w:rFonts w:ascii="標楷體-繁" w:eastAsia="標楷體-繁" w:hAnsi="標楷體-繁" w:hint="eastAsia"/>
          <w:color w:val="000000" w:themeColor="text1"/>
          <w:sz w:val="21"/>
          <w:szCs w:val="21"/>
        </w:rPr>
        <w:t>。</w:t>
      </w:r>
    </w:p>
    <w:p w14:paraId="382A3030" w14:textId="7E56BC77" w:rsidR="00251D92" w:rsidRPr="00C47326" w:rsidRDefault="00251D92" w:rsidP="00251D92">
      <w:pPr>
        <w:rPr>
          <w:rFonts w:ascii="標楷體-繁" w:eastAsia="標楷體-繁" w:hAnsi="標楷體-繁"/>
          <w:color w:val="000000" w:themeColor="text1"/>
          <w:sz w:val="21"/>
          <w:szCs w:val="21"/>
        </w:rPr>
      </w:pPr>
      <w:r w:rsidRPr="00C47326">
        <w:rPr>
          <w:rFonts w:ascii="標楷體-繁" w:eastAsia="標楷體-繁" w:hAnsi="標楷體-繁" w:hint="eastAsia"/>
          <w:color w:val="000000" w:themeColor="text1"/>
          <w:sz w:val="21"/>
          <w:szCs w:val="21"/>
        </w:rPr>
        <w:lastRenderedPageBreak/>
        <w:t>21 Harrell, M.B., A. Loukas, C.D. Jackson, et al. "Flavored Tobacco Product Use among Youth and Young Adults: What if Flavors Didn't Exist?" Tobacco Regulatory Science 3, no. 2 (2017): 168–173. 網址：https://doi.org/10.18001/TRS.3.2.4</w:t>
      </w:r>
    </w:p>
    <w:p w14:paraId="30D18B5F" w14:textId="356079D2" w:rsidR="00251D92" w:rsidRPr="00C47326" w:rsidRDefault="00251D92" w:rsidP="00251D92">
      <w:pPr>
        <w:rPr>
          <w:rFonts w:ascii="標楷體-繁" w:eastAsia="標楷體-繁" w:hAnsi="標楷體-繁"/>
          <w:color w:val="000000" w:themeColor="text1"/>
          <w:sz w:val="21"/>
          <w:szCs w:val="21"/>
        </w:rPr>
      </w:pPr>
      <w:r w:rsidRPr="00C47326">
        <w:rPr>
          <w:rFonts w:ascii="標楷體-繁" w:eastAsia="標楷體-繁" w:hAnsi="標楷體-繁" w:hint="eastAsia"/>
          <w:color w:val="000000" w:themeColor="text1"/>
          <w:sz w:val="21"/>
          <w:szCs w:val="21"/>
        </w:rPr>
        <w:t xml:space="preserve">22 例如，Carpenter, C.M., et al. "New Cigarette Brands with Flavors that Appeal to Youth: Tobacco Marketing Strategies." Health Affairs 24, no. 6 (2005): 1601–1610. 網址：https://doi.org/10.1377/hlthaff.24.6.1601；Pepper, J.K., K.M. </w:t>
      </w:r>
      <w:proofErr w:type="spellStart"/>
      <w:r w:rsidRPr="00C47326">
        <w:rPr>
          <w:rFonts w:ascii="標楷體-繁" w:eastAsia="標楷體-繁" w:hAnsi="標楷體-繁" w:hint="eastAsia"/>
          <w:color w:val="000000" w:themeColor="text1"/>
          <w:sz w:val="21"/>
          <w:szCs w:val="21"/>
        </w:rPr>
        <w:t>Ribisl</w:t>
      </w:r>
      <w:proofErr w:type="spellEnd"/>
      <w:r w:rsidRPr="00C47326">
        <w:rPr>
          <w:rFonts w:ascii="標楷體-繁" w:eastAsia="標楷體-繁" w:hAnsi="標楷體-繁" w:hint="eastAsia"/>
          <w:color w:val="000000" w:themeColor="text1"/>
          <w:sz w:val="21"/>
          <w:szCs w:val="21"/>
        </w:rPr>
        <w:t xml:space="preserve">, and N.T. Brewer. "Adolescents' Interest in Trying </w:t>
      </w:r>
      <w:proofErr w:type="spellStart"/>
      <w:r w:rsidRPr="00C47326">
        <w:rPr>
          <w:rFonts w:ascii="標楷體-繁" w:eastAsia="標楷體-繁" w:hAnsi="標楷體-繁" w:hint="eastAsia"/>
          <w:color w:val="000000" w:themeColor="text1"/>
          <w:sz w:val="21"/>
          <w:szCs w:val="21"/>
        </w:rPr>
        <w:t>Flavoured</w:t>
      </w:r>
      <w:proofErr w:type="spellEnd"/>
      <w:r w:rsidRPr="00C47326">
        <w:rPr>
          <w:rFonts w:ascii="標楷體-繁" w:eastAsia="標楷體-繁" w:hAnsi="標楷體-繁" w:hint="eastAsia"/>
          <w:color w:val="000000" w:themeColor="text1"/>
          <w:sz w:val="21"/>
          <w:szCs w:val="21"/>
        </w:rPr>
        <w:t xml:space="preserve"> E-Cigarettes." Tobacco Control 25 (2016): ii62–ii66. 網址：https://doi.org/10.1136/tobaccocontrol-2016-053174；</w:t>
      </w:r>
      <w:proofErr w:type="spellStart"/>
      <w:r w:rsidRPr="00C47326">
        <w:rPr>
          <w:rFonts w:ascii="標楷體-繁" w:eastAsia="標楷體-繁" w:hAnsi="標楷體-繁" w:hint="eastAsia"/>
          <w:color w:val="000000" w:themeColor="text1"/>
          <w:sz w:val="21"/>
          <w:szCs w:val="21"/>
        </w:rPr>
        <w:t>Camenga</w:t>
      </w:r>
      <w:proofErr w:type="spellEnd"/>
      <w:r w:rsidRPr="00C47326">
        <w:rPr>
          <w:rFonts w:ascii="標楷體-繁" w:eastAsia="標楷體-繁" w:hAnsi="標楷體-繁" w:hint="eastAsia"/>
          <w:color w:val="000000" w:themeColor="text1"/>
          <w:sz w:val="21"/>
          <w:szCs w:val="21"/>
        </w:rPr>
        <w:t xml:space="preserve">, D.R., M. </w:t>
      </w:r>
      <w:proofErr w:type="spellStart"/>
      <w:r w:rsidRPr="00C47326">
        <w:rPr>
          <w:rFonts w:ascii="標楷體-繁" w:eastAsia="標楷體-繁" w:hAnsi="標楷體-繁" w:hint="eastAsia"/>
          <w:color w:val="000000" w:themeColor="text1"/>
          <w:sz w:val="21"/>
          <w:szCs w:val="21"/>
        </w:rPr>
        <w:t>Morean</w:t>
      </w:r>
      <w:proofErr w:type="spellEnd"/>
      <w:r w:rsidRPr="00C47326">
        <w:rPr>
          <w:rFonts w:ascii="標楷體-繁" w:eastAsia="標楷體-繁" w:hAnsi="標楷體-繁" w:hint="eastAsia"/>
          <w:color w:val="000000" w:themeColor="text1"/>
          <w:sz w:val="21"/>
          <w:szCs w:val="21"/>
        </w:rPr>
        <w:t>, G. Kong, et al. "Appeal and Use of Customizable E-Cigarette Product Features in Adolescents." Tobacco Regulatory Science 4, no. 2 (2018): 51–60. DOI: 10.18001/TRS.4.2.5. 網址：https://research.ebsco.com/c/xt5u2o/viewer/pdf/o274hxut4j?route=details；Harrell, M.B., S.R. Weaver, A. Loukas, et al. "Flavored E-Cigarette Use: Characterizing Youth, Young Adult, and Adult Users." Preventive Medicine Reports 5 (2017): 33–40. 網址：</w:t>
      </w:r>
      <w:r w:rsidRPr="00C47326">
        <w:rPr>
          <w:rFonts w:ascii="標楷體-繁" w:eastAsia="標楷體-繁" w:hAnsi="標楷體-繁"/>
          <w:color w:val="000000" w:themeColor="text1"/>
          <w:sz w:val="21"/>
          <w:szCs w:val="21"/>
        </w:rPr>
        <w:fldChar w:fldCharType="begin"/>
      </w:r>
      <w:r w:rsidRPr="00C47326">
        <w:rPr>
          <w:rFonts w:ascii="標楷體-繁" w:eastAsia="標楷體-繁" w:hAnsi="標楷體-繁"/>
          <w:color w:val="000000" w:themeColor="text1"/>
          <w:sz w:val="21"/>
          <w:szCs w:val="21"/>
        </w:rPr>
        <w:instrText xml:space="preserve"> </w:instrText>
      </w:r>
      <w:r w:rsidRPr="00C47326">
        <w:rPr>
          <w:rFonts w:ascii="標楷體-繁" w:eastAsia="標楷體-繁" w:hAnsi="標楷體-繁" w:hint="eastAsia"/>
          <w:color w:val="000000" w:themeColor="text1"/>
          <w:sz w:val="21"/>
          <w:szCs w:val="21"/>
        </w:rPr>
        <w:instrText>HYPERLINK "https://doi.org/10.1016/j.pmedr.2016.11.001"</w:instrText>
      </w:r>
      <w:r w:rsidRPr="00C47326">
        <w:rPr>
          <w:rFonts w:ascii="標楷體-繁" w:eastAsia="標楷體-繁" w:hAnsi="標楷體-繁"/>
          <w:color w:val="000000" w:themeColor="text1"/>
          <w:sz w:val="21"/>
          <w:szCs w:val="21"/>
        </w:rPr>
        <w:instrText xml:space="preserve"> </w:instrText>
      </w:r>
      <w:r w:rsidRPr="00C47326">
        <w:rPr>
          <w:rFonts w:ascii="標楷體-繁" w:eastAsia="標楷體-繁" w:hAnsi="標楷體-繁"/>
          <w:color w:val="000000" w:themeColor="text1"/>
          <w:sz w:val="21"/>
          <w:szCs w:val="21"/>
        </w:rPr>
        <w:fldChar w:fldCharType="separate"/>
      </w:r>
      <w:r w:rsidRPr="00C47326">
        <w:rPr>
          <w:rStyle w:val="af"/>
          <w:rFonts w:ascii="標楷體-繁" w:eastAsia="標楷體-繁" w:hAnsi="標楷體-繁" w:hint="eastAsia"/>
          <w:sz w:val="21"/>
          <w:szCs w:val="21"/>
        </w:rPr>
        <w:t>https://doi.org/10.1016/j.pmedr.2016.11.001</w:t>
      </w:r>
      <w:r w:rsidRPr="00C47326">
        <w:rPr>
          <w:rFonts w:ascii="標楷體-繁" w:eastAsia="標楷體-繁" w:hAnsi="標楷體-繁"/>
          <w:color w:val="000000" w:themeColor="text1"/>
          <w:sz w:val="21"/>
          <w:szCs w:val="21"/>
        </w:rPr>
        <w:fldChar w:fldCharType="end"/>
      </w:r>
      <w:r w:rsidRPr="00C47326">
        <w:rPr>
          <w:rFonts w:ascii="標楷體-繁" w:eastAsia="標楷體-繁" w:hAnsi="標楷體-繁" w:hint="eastAsia"/>
          <w:color w:val="000000" w:themeColor="text1"/>
          <w:sz w:val="21"/>
          <w:szCs w:val="21"/>
        </w:rPr>
        <w:t>。</w:t>
      </w:r>
    </w:p>
    <w:p w14:paraId="3F101538" w14:textId="38F6898E" w:rsidR="00251D92" w:rsidRPr="00C47326" w:rsidRDefault="00251D92" w:rsidP="00251D92">
      <w:pPr>
        <w:rPr>
          <w:rFonts w:ascii="標楷體-繁" w:eastAsia="標楷體-繁" w:hAnsi="標楷體-繁"/>
          <w:color w:val="000000" w:themeColor="text1"/>
          <w:sz w:val="21"/>
          <w:szCs w:val="21"/>
        </w:rPr>
      </w:pPr>
      <w:r w:rsidRPr="00C47326">
        <w:rPr>
          <w:rFonts w:ascii="標楷體-繁" w:eastAsia="標楷體-繁" w:hAnsi="標楷體-繁" w:hint="eastAsia"/>
          <w:color w:val="000000" w:themeColor="text1"/>
          <w:sz w:val="21"/>
          <w:szCs w:val="21"/>
        </w:rPr>
        <w:t>23 Park-Lee, E., A. Jamal, H. Cowan, et al. "Notes from the Field: E-Cigarette and Nicotine Pouch Use Among Middle and High School Students—United States, 2024." Morbidity and Mortality Weekly Report 73 (2024): 774–778. 網址：https://doi.org/10.15585/mmwr.mm7335a3。FDA認知到，多種因素均可能影響青少年使用型態。</w:t>
      </w:r>
    </w:p>
    <w:p w14:paraId="23E22520" w14:textId="17379575" w:rsidR="00251D92" w:rsidRPr="00C47326" w:rsidRDefault="00251D92" w:rsidP="00251D92">
      <w:pPr>
        <w:rPr>
          <w:rFonts w:ascii="標楷體-繁" w:eastAsia="標楷體-繁" w:hAnsi="標楷體-繁"/>
          <w:color w:val="000000" w:themeColor="text1"/>
          <w:sz w:val="21"/>
          <w:szCs w:val="21"/>
        </w:rPr>
      </w:pPr>
      <w:r w:rsidRPr="00C47326">
        <w:rPr>
          <w:rFonts w:ascii="標楷體-繁" w:eastAsia="標楷體-繁" w:hAnsi="標楷體-繁" w:hint="eastAsia"/>
          <w:color w:val="000000" w:themeColor="text1"/>
          <w:sz w:val="21"/>
          <w:szCs w:val="21"/>
        </w:rPr>
        <w:t>24 CDC. "Notes from the Field: E-Cigarette and Nicotine Pouch Use Among Middle and High School Students — United States, 2024." CDC.gov. 2026 年 2 月 19 日查閱。網址：https://www.cdc.gov/mmwr/volumes/73/wr/mm7335a3.htm?cid=mm7335a3w。</w:t>
      </w:r>
    </w:p>
    <w:p w14:paraId="35B6F160" w14:textId="77777777" w:rsidR="00251D92" w:rsidRPr="00C47326" w:rsidRDefault="00251D92" w:rsidP="00251D92">
      <w:pPr>
        <w:rPr>
          <w:rFonts w:ascii="標楷體-繁" w:eastAsia="標楷體-繁" w:hAnsi="標楷體-繁"/>
          <w:color w:val="000000" w:themeColor="text1"/>
          <w:sz w:val="21"/>
          <w:szCs w:val="21"/>
        </w:rPr>
      </w:pPr>
      <w:r w:rsidRPr="00C47326">
        <w:rPr>
          <w:rFonts w:ascii="標楷體-繁" w:eastAsia="標楷體-繁" w:hAnsi="標楷體-繁"/>
          <w:color w:val="000000" w:themeColor="text1"/>
          <w:sz w:val="21"/>
          <w:szCs w:val="21"/>
        </w:rPr>
        <w:t>25 U.S. Department of Health and Human Services. E-Cigarette Use Among Youth and Young Adults: A Report of the Surgeon General. Atlanta, GA: U.S. Department of Health and Human Services, Centers for Disease Control and Prevention, National Center for Chron</w:t>
      </w:r>
      <w:r w:rsidRPr="00C47326">
        <w:rPr>
          <w:rFonts w:ascii="標楷體-繁" w:eastAsia="標楷體-繁" w:hAnsi="標楷體-繁" w:hint="eastAsia"/>
          <w:color w:val="000000" w:themeColor="text1"/>
          <w:sz w:val="21"/>
          <w:szCs w:val="21"/>
        </w:rPr>
        <w:t>ic Disease Prevention and Health Promotion, Office on Smoking and Health, 2016. 網址：https://www.ncbi.nlm.nih.gov/books/NBK538680/；Leventhal</w:t>
      </w:r>
    </w:p>
    <w:p w14:paraId="23D38F8F" w14:textId="4DE2F757" w:rsidR="00251D92" w:rsidRPr="00C47326" w:rsidRDefault="00251D92" w:rsidP="00251D92">
      <w:pPr>
        <w:rPr>
          <w:rFonts w:ascii="標楷體-繁" w:eastAsia="標楷體-繁" w:hAnsi="標楷體-繁"/>
          <w:color w:val="000000" w:themeColor="text1"/>
          <w:sz w:val="21"/>
          <w:szCs w:val="21"/>
        </w:rPr>
      </w:pPr>
      <w:r w:rsidRPr="00C47326">
        <w:rPr>
          <w:rFonts w:ascii="標楷體-繁" w:eastAsia="標楷體-繁" w:hAnsi="標楷體-繁" w:hint="eastAsia"/>
          <w:color w:val="000000" w:themeColor="text1"/>
          <w:sz w:val="21"/>
          <w:szCs w:val="21"/>
        </w:rPr>
        <w:t xml:space="preserve">, A.M., N.I. </w:t>
      </w:r>
      <w:proofErr w:type="spellStart"/>
      <w:r w:rsidRPr="00C47326">
        <w:rPr>
          <w:rFonts w:ascii="標楷體-繁" w:eastAsia="標楷體-繁" w:hAnsi="標楷體-繁" w:hint="eastAsia"/>
          <w:color w:val="000000" w:themeColor="text1"/>
          <w:sz w:val="21"/>
          <w:szCs w:val="21"/>
        </w:rPr>
        <w:t>Goldenson</w:t>
      </w:r>
      <w:proofErr w:type="spellEnd"/>
      <w:r w:rsidRPr="00C47326">
        <w:rPr>
          <w:rFonts w:ascii="標楷體-繁" w:eastAsia="標楷體-繁" w:hAnsi="標楷體-繁" w:hint="eastAsia"/>
          <w:color w:val="000000" w:themeColor="text1"/>
          <w:sz w:val="21"/>
          <w:szCs w:val="21"/>
        </w:rPr>
        <w:t xml:space="preserve">, J. Cho, et al. "Flavored E-Cigarette Use and Progression of Vaping in Adolescents." Pediatrics 144, no. 5 (2019). 網址：https://doi.org/10.1542/peds.2019-0789；Audrain-McGovern, J., D. Rodriguez, S. </w:t>
      </w:r>
      <w:proofErr w:type="spellStart"/>
      <w:r w:rsidRPr="00C47326">
        <w:rPr>
          <w:rFonts w:ascii="標楷體-繁" w:eastAsia="標楷體-繁" w:hAnsi="標楷體-繁" w:hint="eastAsia"/>
          <w:color w:val="000000" w:themeColor="text1"/>
          <w:sz w:val="21"/>
          <w:szCs w:val="21"/>
        </w:rPr>
        <w:t>Pianin</w:t>
      </w:r>
      <w:proofErr w:type="spellEnd"/>
      <w:r w:rsidRPr="00C47326">
        <w:rPr>
          <w:rFonts w:ascii="標楷體-繁" w:eastAsia="標楷體-繁" w:hAnsi="標楷體-繁" w:hint="eastAsia"/>
          <w:color w:val="000000" w:themeColor="text1"/>
          <w:sz w:val="21"/>
          <w:szCs w:val="21"/>
        </w:rPr>
        <w:t>, and E. Alexander. "Initial E-Cigarette Flavoring and Nicotine Exposure and E-Cigarette Uptake Among Adolescents." Drug and Alcohol Dependence 202 (2019): 149–155. 網址：https://doi.org/10.1016/j.drugalcdep.2019.04.037。</w:t>
      </w:r>
    </w:p>
    <w:p w14:paraId="21D97ABD" w14:textId="31C3218A" w:rsidR="00091A37" w:rsidRPr="00C47326" w:rsidRDefault="00251D92" w:rsidP="00251D92">
      <w:pPr>
        <w:rPr>
          <w:rFonts w:ascii="標楷體-繁" w:eastAsia="標楷體-繁" w:hAnsi="標楷體-繁"/>
          <w:color w:val="000000" w:themeColor="text1"/>
          <w:sz w:val="21"/>
          <w:szCs w:val="21"/>
        </w:rPr>
      </w:pPr>
      <w:r w:rsidRPr="00C47326">
        <w:rPr>
          <w:rFonts w:ascii="標楷體-繁" w:eastAsia="標楷體-繁" w:hAnsi="標楷體-繁" w:hint="eastAsia"/>
          <w:color w:val="000000" w:themeColor="text1"/>
          <w:sz w:val="21"/>
          <w:szCs w:val="21"/>
        </w:rPr>
        <w:t>26 Chaffee, B.W., J. Barrington-</w:t>
      </w:r>
      <w:proofErr w:type="spellStart"/>
      <w:r w:rsidRPr="00C47326">
        <w:rPr>
          <w:rFonts w:ascii="標楷體-繁" w:eastAsia="標楷體-繁" w:hAnsi="標楷體-繁" w:hint="eastAsia"/>
          <w:color w:val="000000" w:themeColor="text1"/>
          <w:sz w:val="21"/>
          <w:szCs w:val="21"/>
        </w:rPr>
        <w:t>Trimis</w:t>
      </w:r>
      <w:proofErr w:type="spellEnd"/>
      <w:r w:rsidRPr="00C47326">
        <w:rPr>
          <w:rFonts w:ascii="標楷體-繁" w:eastAsia="標楷體-繁" w:hAnsi="標楷體-繁" w:hint="eastAsia"/>
          <w:color w:val="000000" w:themeColor="text1"/>
          <w:sz w:val="21"/>
          <w:szCs w:val="21"/>
        </w:rPr>
        <w:t>, F. Liu, et al. "E-Cigarette Use and Adverse Respiratory Symptoms among Adolescents and Young Adults in the United States." Preventive Medicine 153 (2021): 106766. 網址：https://doi.org/10.1016/j.ypmed.2021.106766；</w:t>
      </w:r>
      <w:proofErr w:type="spellStart"/>
      <w:r w:rsidRPr="00C47326">
        <w:rPr>
          <w:rFonts w:ascii="標楷體-繁" w:eastAsia="標楷體-繁" w:hAnsi="標楷體-繁" w:hint="eastAsia"/>
          <w:color w:val="000000" w:themeColor="text1"/>
          <w:sz w:val="21"/>
          <w:szCs w:val="21"/>
        </w:rPr>
        <w:t>Mukerj</w:t>
      </w:r>
      <w:r w:rsidRPr="00C47326">
        <w:rPr>
          <w:rFonts w:ascii="標楷體-繁" w:eastAsia="標楷體-繁" w:hAnsi="標楷體-繁"/>
          <w:color w:val="000000" w:themeColor="text1"/>
          <w:sz w:val="21"/>
          <w:szCs w:val="21"/>
        </w:rPr>
        <w:t>ee</w:t>
      </w:r>
      <w:proofErr w:type="spellEnd"/>
      <w:r w:rsidRPr="00C47326">
        <w:rPr>
          <w:rFonts w:ascii="標楷體-繁" w:eastAsia="標楷體-繁" w:hAnsi="標楷體-繁" w:hint="eastAsia"/>
          <w:color w:val="000000" w:themeColor="text1"/>
          <w:sz w:val="21"/>
          <w:szCs w:val="21"/>
        </w:rPr>
        <w:t xml:space="preserve">, R., </w:t>
      </w:r>
      <w:proofErr w:type="spellStart"/>
      <w:r w:rsidRPr="00C47326">
        <w:rPr>
          <w:rFonts w:ascii="標楷體-繁" w:eastAsia="標楷體-繁" w:hAnsi="標楷體-繁" w:hint="eastAsia"/>
          <w:color w:val="000000" w:themeColor="text1"/>
          <w:sz w:val="21"/>
          <w:szCs w:val="21"/>
        </w:rPr>
        <w:t>Hirschtick</w:t>
      </w:r>
      <w:proofErr w:type="spellEnd"/>
      <w:r w:rsidRPr="00C47326">
        <w:rPr>
          <w:rFonts w:ascii="標楷體-繁" w:eastAsia="標楷體-繁" w:hAnsi="標楷體-繁" w:hint="eastAsia"/>
          <w:color w:val="000000" w:themeColor="text1"/>
          <w:sz w:val="21"/>
          <w:szCs w:val="21"/>
        </w:rPr>
        <w:t xml:space="preserve">, J.L., et al. ENDS, cigarettes, and respiratory illness: Longitudinal associations among U.S. Youth. Am J </w:t>
      </w:r>
      <w:proofErr w:type="spellStart"/>
      <w:r w:rsidRPr="00C47326">
        <w:rPr>
          <w:rFonts w:ascii="標楷體-繁" w:eastAsia="標楷體-繁" w:hAnsi="標楷體-繁" w:hint="eastAsia"/>
          <w:color w:val="000000" w:themeColor="text1"/>
          <w:sz w:val="21"/>
          <w:szCs w:val="21"/>
        </w:rPr>
        <w:t>Prev</w:t>
      </w:r>
      <w:proofErr w:type="spellEnd"/>
      <w:r w:rsidRPr="00C47326">
        <w:rPr>
          <w:rFonts w:ascii="標楷體-繁" w:eastAsia="標楷體-繁" w:hAnsi="標楷體-繁" w:hint="eastAsia"/>
          <w:color w:val="000000" w:themeColor="text1"/>
          <w:sz w:val="21"/>
          <w:szCs w:val="21"/>
        </w:rPr>
        <w:t xml:space="preserve"> Med 66, no. 5 (2023): 789-796. 網址：https://doi.org/10.1016/j.amepre.2023.12.005。</w:t>
      </w:r>
      <w:r w:rsidR="00091A37">
        <w:rPr>
          <w:rFonts w:ascii="標楷體-繁" w:eastAsia="標楷體-繁" w:hAnsi="標楷體-繁"/>
          <w:color w:val="000000" w:themeColor="text1"/>
        </w:rPr>
        <w:br w:type="page"/>
      </w:r>
    </w:p>
    <w:p w14:paraId="6294B775" w14:textId="77777777" w:rsidR="00D30E3C" w:rsidRPr="00D30E3C" w:rsidRDefault="00D30E3C" w:rsidP="00D30E3C">
      <w:pPr>
        <w:pStyle w:val="Compact"/>
        <w:jc w:val="center"/>
        <w:rPr>
          <w:rFonts w:ascii="標楷體-繁" w:eastAsia="標楷體-繁" w:hAnsi="標楷體-繁"/>
          <w:b/>
          <w:bCs/>
          <w:color w:val="000000" w:themeColor="text1"/>
        </w:rPr>
      </w:pPr>
      <w:r w:rsidRPr="00D30E3C">
        <w:rPr>
          <w:rFonts w:ascii="標楷體-繁" w:eastAsia="標楷體-繁" w:hAnsi="標楷體-繁" w:hint="eastAsia"/>
          <w:b/>
          <w:bCs/>
          <w:color w:val="000000" w:themeColor="text1"/>
        </w:rPr>
        <w:lastRenderedPageBreak/>
        <w:t>含非約束性建議</w:t>
      </w:r>
    </w:p>
    <w:p w14:paraId="73F3EC46" w14:textId="50DF7636" w:rsidR="00091A37" w:rsidRDefault="00091A37" w:rsidP="006B79D7">
      <w:pPr>
        <w:pStyle w:val="Compact"/>
        <w:jc w:val="both"/>
        <w:rPr>
          <w:rFonts w:ascii="標楷體-繁" w:eastAsia="標楷體-繁" w:hAnsi="標楷體-繁"/>
          <w:color w:val="000000" w:themeColor="text1"/>
        </w:rPr>
      </w:pPr>
    </w:p>
    <w:p w14:paraId="27C6E590" w14:textId="4ED4FC08" w:rsidR="00D30E3C" w:rsidRDefault="00D30E3C" w:rsidP="006B79D7">
      <w:pPr>
        <w:pStyle w:val="Compact"/>
        <w:jc w:val="both"/>
        <w:rPr>
          <w:rFonts w:ascii="標楷體-繁" w:eastAsia="標楷體-繁" w:hAnsi="標楷體-繁"/>
          <w:color w:val="000000" w:themeColor="text1"/>
        </w:rPr>
      </w:pPr>
      <w:r w:rsidRPr="00D30E3C">
        <w:rPr>
          <w:rFonts w:ascii="標楷體-繁" w:eastAsia="標楷體-繁" w:hAnsi="標楷體-繁" w:hint="eastAsia"/>
          <w:color w:val="000000" w:themeColor="text1"/>
        </w:rPr>
        <w:t>偏好水果風味之青少年，將 ENDS 視為其第一個產品之機率，約為偏好其他風味者之兩倍；而偏好薄荷醇／薄荷／冬青風味之青少年，相較於偏好其他風味者，首先嘗試 ENDS 之可能性則減半。29 使用非傳統風味（例如水果與糖果）之青少年，在六個月後持續 vaping 的校正勝算，幾乎是僅使用傳統風味（菸草、薄荷醇或薄荷，或無味）者的四倍。30</w:t>
      </w:r>
    </w:p>
    <w:p w14:paraId="5BD5A1A9" w14:textId="7E4EF88A" w:rsidR="00D30E3C" w:rsidRDefault="00D30E3C" w:rsidP="006B79D7">
      <w:pPr>
        <w:pStyle w:val="Compact"/>
        <w:jc w:val="both"/>
        <w:rPr>
          <w:rFonts w:ascii="標楷體-繁" w:eastAsia="標楷體-繁" w:hAnsi="標楷體-繁"/>
          <w:color w:val="000000" w:themeColor="text1"/>
        </w:rPr>
      </w:pPr>
    </w:p>
    <w:p w14:paraId="76B1B3C9" w14:textId="77777777" w:rsidR="00D30E3C" w:rsidRPr="00D30E3C" w:rsidRDefault="00D30E3C" w:rsidP="00D30E3C">
      <w:pPr>
        <w:pStyle w:val="Compact"/>
        <w:jc w:val="both"/>
        <w:rPr>
          <w:rFonts w:ascii="標楷體-繁" w:eastAsia="標楷體-繁" w:hAnsi="標楷體-繁"/>
          <w:b/>
          <w:bCs/>
          <w:color w:val="000000" w:themeColor="text1"/>
        </w:rPr>
      </w:pPr>
      <w:r w:rsidRPr="00D30E3C">
        <w:rPr>
          <w:rFonts w:ascii="標楷體-繁" w:eastAsia="標楷體-繁" w:hAnsi="標楷體-繁" w:hint="eastAsia"/>
          <w:b/>
          <w:bCs/>
          <w:color w:val="000000" w:themeColor="text1"/>
        </w:rPr>
        <w:t>B. 依風險比例分級之評估</w:t>
      </w:r>
    </w:p>
    <w:p w14:paraId="1A4B1D9C" w14:textId="77777777" w:rsidR="00D30E3C" w:rsidRPr="00D30E3C" w:rsidRDefault="00D30E3C" w:rsidP="00D30E3C">
      <w:pPr>
        <w:pStyle w:val="Compact"/>
        <w:jc w:val="both"/>
        <w:rPr>
          <w:rFonts w:ascii="標楷體-繁" w:eastAsia="標楷體-繁" w:hAnsi="標楷體-繁"/>
          <w:color w:val="000000" w:themeColor="text1"/>
        </w:rPr>
      </w:pPr>
    </w:p>
    <w:p w14:paraId="36A1BBB2" w14:textId="0DF31334" w:rsidR="00D30E3C" w:rsidRDefault="00D30E3C" w:rsidP="00D30E3C">
      <w:pPr>
        <w:pStyle w:val="Compact"/>
        <w:jc w:val="both"/>
        <w:rPr>
          <w:rFonts w:ascii="標楷體-繁" w:eastAsia="標楷體-繁" w:hAnsi="標楷體-繁"/>
          <w:color w:val="000000" w:themeColor="text1"/>
        </w:rPr>
      </w:pPr>
      <w:r w:rsidRPr="00E64DF2">
        <w:rPr>
          <w:rFonts w:ascii="標楷體-繁" w:eastAsia="標楷體-繁" w:hAnsi="標楷體-繁" w:hint="eastAsia"/>
          <w:color w:val="000000" w:themeColor="text1"/>
          <w:highlight w:val="cyan"/>
        </w:rPr>
        <w:t>加味 ENDS 對青少年構成已知且重大的風險，且該風險高於菸草味 ENDS。因此，FDA 一般會針對非菸草風味 ENDS 申請進行聚焦審查，以判定其是否具備可證明該加味 ENDS 相較於菸草味 ENDS 在促進使用可燃式香菸之成年人完全轉換或顯著減少其可燃式香菸使用方面具有額外利益之那類強健且可靠的證據。</w:t>
      </w:r>
      <w:r w:rsidRPr="00D30E3C">
        <w:rPr>
          <w:rFonts w:ascii="標楷體-繁" w:eastAsia="標楷體-繁" w:hAnsi="標楷體-繁" w:hint="eastAsia"/>
          <w:color w:val="000000" w:themeColor="text1"/>
        </w:rPr>
        <w:t>此一方法已由最高法院於 FDA v. Wages and White Lion 一案中確認，且維持不變。31 本指引處理的是 FDA 審查中的下一步，亦即，證明 APPH 所必需之額外成年人利益程度為何。</w:t>
      </w:r>
    </w:p>
    <w:p w14:paraId="41347B65" w14:textId="77777777" w:rsidR="00D30E3C" w:rsidRDefault="00D30E3C" w:rsidP="00D30E3C">
      <w:pPr>
        <w:pStyle w:val="Compact"/>
        <w:jc w:val="both"/>
        <w:rPr>
          <w:rFonts w:ascii="標楷體-繁" w:eastAsia="標楷體-繁" w:hAnsi="標楷體-繁"/>
          <w:color w:val="000000" w:themeColor="text1"/>
        </w:rPr>
      </w:pPr>
    </w:p>
    <w:p w14:paraId="32AB00A2" w14:textId="0E202F17" w:rsidR="00251D92" w:rsidRPr="00C47326" w:rsidRDefault="00251D92" w:rsidP="00251D92">
      <w:pPr>
        <w:rPr>
          <w:rFonts w:ascii="標楷體-繁" w:eastAsia="標楷體-繁" w:hAnsi="標楷體-繁"/>
          <w:color w:val="000000" w:themeColor="text1"/>
          <w:sz w:val="21"/>
          <w:szCs w:val="21"/>
        </w:rPr>
      </w:pPr>
      <w:r w:rsidRPr="00C47326">
        <w:rPr>
          <w:rFonts w:ascii="標楷體-繁" w:eastAsia="標楷體-繁" w:hAnsi="標楷體-繁" w:hint="eastAsia"/>
          <w:color w:val="000000" w:themeColor="text1"/>
          <w:sz w:val="21"/>
          <w:szCs w:val="21"/>
        </w:rPr>
        <w:t xml:space="preserve">27 </w:t>
      </w:r>
      <w:proofErr w:type="spellStart"/>
      <w:r w:rsidRPr="00C47326">
        <w:rPr>
          <w:rFonts w:ascii="標楷體-繁" w:eastAsia="標楷體-繁" w:hAnsi="標楷體-繁" w:hint="eastAsia"/>
          <w:color w:val="000000" w:themeColor="text1"/>
          <w:sz w:val="21"/>
          <w:szCs w:val="21"/>
        </w:rPr>
        <w:t>Boykan</w:t>
      </w:r>
      <w:proofErr w:type="spellEnd"/>
      <w:r w:rsidRPr="00C47326">
        <w:rPr>
          <w:rFonts w:ascii="標楷體-繁" w:eastAsia="標楷體-繁" w:hAnsi="標楷體-繁" w:hint="eastAsia"/>
          <w:color w:val="000000" w:themeColor="text1"/>
          <w:sz w:val="21"/>
          <w:szCs w:val="21"/>
        </w:rPr>
        <w:t xml:space="preserve">, R., </w:t>
      </w:r>
      <w:proofErr w:type="spellStart"/>
      <w:r w:rsidRPr="00C47326">
        <w:rPr>
          <w:rFonts w:ascii="標楷體-繁" w:eastAsia="標楷體-繁" w:hAnsi="標楷體-繁" w:hint="eastAsia"/>
          <w:color w:val="000000" w:themeColor="text1"/>
          <w:sz w:val="21"/>
          <w:szCs w:val="21"/>
        </w:rPr>
        <w:t>Goniewicz</w:t>
      </w:r>
      <w:proofErr w:type="spellEnd"/>
      <w:r w:rsidRPr="00C47326">
        <w:rPr>
          <w:rFonts w:ascii="標楷體-繁" w:eastAsia="標楷體-繁" w:hAnsi="標楷體-繁" w:hint="eastAsia"/>
          <w:color w:val="000000" w:themeColor="text1"/>
          <w:sz w:val="21"/>
          <w:szCs w:val="21"/>
        </w:rPr>
        <w:t xml:space="preserve">, ML., et al. Evidence of Nicotine Dependence in Adolescents Who Use Juul and Similar Pod Devices. Int J Environ Res Public Health 16, no. 12 (2019). 網址：https://doi.org/10.3390/ijerph16122135；Case, K.R., </w:t>
      </w:r>
      <w:proofErr w:type="spellStart"/>
      <w:r w:rsidRPr="00C47326">
        <w:rPr>
          <w:rFonts w:ascii="標楷體-繁" w:eastAsia="標楷體-繁" w:hAnsi="標楷體-繁" w:hint="eastAsia"/>
          <w:color w:val="000000" w:themeColor="text1"/>
          <w:sz w:val="21"/>
          <w:szCs w:val="21"/>
        </w:rPr>
        <w:t>Mantey</w:t>
      </w:r>
      <w:proofErr w:type="spellEnd"/>
      <w:r w:rsidRPr="00C47326">
        <w:rPr>
          <w:rFonts w:ascii="標楷體-繁" w:eastAsia="標楷體-繁" w:hAnsi="標楷體-繁" w:hint="eastAsia"/>
          <w:color w:val="000000" w:themeColor="text1"/>
          <w:sz w:val="21"/>
          <w:szCs w:val="21"/>
        </w:rPr>
        <w:t xml:space="preserve">, D.S., et al. E-cigarette-specific symptoms of nicotine dependence among Texas adolescents. Addict </w:t>
      </w:r>
      <w:proofErr w:type="spellStart"/>
      <w:r w:rsidRPr="00C47326">
        <w:rPr>
          <w:rFonts w:ascii="標楷體-繁" w:eastAsia="標楷體-繁" w:hAnsi="標楷體-繁" w:hint="eastAsia"/>
          <w:color w:val="000000" w:themeColor="text1"/>
          <w:sz w:val="21"/>
          <w:szCs w:val="21"/>
        </w:rPr>
        <w:t>Behav</w:t>
      </w:r>
      <w:proofErr w:type="spellEnd"/>
      <w:r w:rsidRPr="00C47326">
        <w:rPr>
          <w:rFonts w:ascii="標楷體-繁" w:eastAsia="標楷體-繁" w:hAnsi="標楷體-繁" w:hint="eastAsia"/>
          <w:color w:val="000000" w:themeColor="text1"/>
          <w:sz w:val="21"/>
          <w:szCs w:val="21"/>
        </w:rPr>
        <w:t xml:space="preserve">. 84 (2018): 57-61. 網址：https://doi.org/10.1016/j.addbeh.2018.03.032；McKelvey, K., </w:t>
      </w:r>
      <w:proofErr w:type="spellStart"/>
      <w:r w:rsidRPr="00C47326">
        <w:rPr>
          <w:rFonts w:ascii="標楷體-繁" w:eastAsia="標楷體-繁" w:hAnsi="標楷體-繁" w:hint="eastAsia"/>
          <w:color w:val="000000" w:themeColor="text1"/>
          <w:sz w:val="21"/>
          <w:szCs w:val="21"/>
        </w:rPr>
        <w:t>Baiocchi</w:t>
      </w:r>
      <w:proofErr w:type="spellEnd"/>
      <w:r w:rsidRPr="00C47326">
        <w:rPr>
          <w:rFonts w:ascii="標楷體-繁" w:eastAsia="標楷體-繁" w:hAnsi="標楷體-繁" w:hint="eastAsia"/>
          <w:color w:val="000000" w:themeColor="text1"/>
          <w:sz w:val="21"/>
          <w:szCs w:val="21"/>
        </w:rPr>
        <w:t xml:space="preserve">, M., et al. Adolescents’ and Young Adults’ Use and Perceptions of Pod-Based Electronic Cigarettes. JAMA </w:t>
      </w:r>
      <w:proofErr w:type="spellStart"/>
      <w:r w:rsidRPr="00C47326">
        <w:rPr>
          <w:rFonts w:ascii="標楷體-繁" w:eastAsia="標楷體-繁" w:hAnsi="標楷體-繁" w:hint="eastAsia"/>
          <w:color w:val="000000" w:themeColor="text1"/>
          <w:sz w:val="21"/>
          <w:szCs w:val="21"/>
        </w:rPr>
        <w:t>Netw</w:t>
      </w:r>
      <w:proofErr w:type="spellEnd"/>
      <w:r w:rsidRPr="00C47326">
        <w:rPr>
          <w:rFonts w:ascii="標楷體-繁" w:eastAsia="標楷體-繁" w:hAnsi="標楷體-繁" w:hint="eastAsia"/>
          <w:color w:val="000000" w:themeColor="text1"/>
          <w:sz w:val="21"/>
          <w:szCs w:val="21"/>
        </w:rPr>
        <w:t xml:space="preserve"> Open 1, no. 6 (2018): e183535. 網址：https://doi.org/10.1001/jamanetworkopen.2018.3535；</w:t>
      </w:r>
      <w:proofErr w:type="spellStart"/>
      <w:r w:rsidRPr="00C47326">
        <w:rPr>
          <w:rFonts w:ascii="標楷體-繁" w:eastAsia="標楷體-繁" w:hAnsi="標楷體-繁" w:hint="eastAsia"/>
          <w:color w:val="000000" w:themeColor="text1"/>
          <w:sz w:val="21"/>
          <w:szCs w:val="21"/>
        </w:rPr>
        <w:t>Morean</w:t>
      </w:r>
      <w:proofErr w:type="spellEnd"/>
      <w:r w:rsidRPr="00C47326">
        <w:rPr>
          <w:rFonts w:ascii="標楷體-繁" w:eastAsia="標楷體-繁" w:hAnsi="標楷體-繁"/>
          <w:color w:val="000000" w:themeColor="text1"/>
          <w:sz w:val="21"/>
          <w:szCs w:val="21"/>
        </w:rPr>
        <w:t xml:space="preserve">, M.E., Krishnan-Sarin, S., et al. Assessing nicotine dependence in adolescent E-cigarette users: The 4-item Patient-Reported Outcomes Measurement Information System (PROMIS) Nicotine Dependence Item Bank for electronic cigarettes. Drug Alcohol Depend 188 </w:t>
      </w:r>
      <w:r w:rsidRPr="00C47326">
        <w:rPr>
          <w:rFonts w:ascii="標楷體-繁" w:eastAsia="標楷體-繁" w:hAnsi="標楷體-繁" w:hint="eastAsia"/>
          <w:color w:val="000000" w:themeColor="text1"/>
          <w:sz w:val="21"/>
          <w:szCs w:val="21"/>
        </w:rPr>
        <w:t xml:space="preserve">(2018b): 60-63. 網址：https://doi.org/10.1016/j.drugalcdep.2018.03.029；Vogel, E.A., Prochaska, J.J., et al. Measuring e-cigarette addiction among adolescents. </w:t>
      </w:r>
      <w:proofErr w:type="spellStart"/>
      <w:r w:rsidRPr="00C47326">
        <w:rPr>
          <w:rFonts w:ascii="標楷體-繁" w:eastAsia="標楷體-繁" w:hAnsi="標楷體-繁" w:hint="eastAsia"/>
          <w:color w:val="000000" w:themeColor="text1"/>
          <w:sz w:val="21"/>
          <w:szCs w:val="21"/>
        </w:rPr>
        <w:t>Tob</w:t>
      </w:r>
      <w:proofErr w:type="spellEnd"/>
      <w:r w:rsidRPr="00C47326">
        <w:rPr>
          <w:rFonts w:ascii="標楷體-繁" w:eastAsia="標楷體-繁" w:hAnsi="標楷體-繁" w:hint="eastAsia"/>
          <w:color w:val="000000" w:themeColor="text1"/>
          <w:sz w:val="21"/>
          <w:szCs w:val="21"/>
        </w:rPr>
        <w:t xml:space="preserve"> Control 29, no. 3 (2020b): 258-262. 網址：https://doi.org/10.1136/tobaccocontrol-2018-054900。</w:t>
      </w:r>
    </w:p>
    <w:p w14:paraId="1436788A" w14:textId="02999FA1" w:rsidR="00251D92" w:rsidRPr="00C47326" w:rsidRDefault="00251D92" w:rsidP="00251D92">
      <w:pPr>
        <w:rPr>
          <w:rFonts w:ascii="標楷體-繁" w:eastAsia="標楷體-繁" w:hAnsi="標楷體-繁"/>
          <w:color w:val="000000" w:themeColor="text1"/>
          <w:sz w:val="21"/>
          <w:szCs w:val="21"/>
        </w:rPr>
      </w:pPr>
      <w:r w:rsidRPr="00C47326">
        <w:rPr>
          <w:rFonts w:ascii="標楷體-繁" w:eastAsia="標楷體-繁" w:hAnsi="標楷體-繁" w:hint="eastAsia"/>
          <w:color w:val="000000" w:themeColor="text1"/>
          <w:sz w:val="21"/>
          <w:szCs w:val="21"/>
        </w:rPr>
        <w:t xml:space="preserve">28 McDonald, C.G., </w:t>
      </w:r>
      <w:proofErr w:type="spellStart"/>
      <w:r w:rsidRPr="00C47326">
        <w:rPr>
          <w:rFonts w:ascii="標楷體-繁" w:eastAsia="標楷體-繁" w:hAnsi="標楷體-繁" w:hint="eastAsia"/>
          <w:color w:val="000000" w:themeColor="text1"/>
          <w:sz w:val="21"/>
          <w:szCs w:val="21"/>
        </w:rPr>
        <w:t>Eppolito</w:t>
      </w:r>
      <w:proofErr w:type="spellEnd"/>
      <w:r w:rsidRPr="00C47326">
        <w:rPr>
          <w:rFonts w:ascii="標楷體-繁" w:eastAsia="標楷體-繁" w:hAnsi="標楷體-繁" w:hint="eastAsia"/>
          <w:color w:val="000000" w:themeColor="text1"/>
          <w:sz w:val="21"/>
          <w:szCs w:val="21"/>
        </w:rPr>
        <w:t xml:space="preserve">, A.K., et al. Evidence for elevated nicotine-induced structural plasticity in nucleus </w:t>
      </w:r>
      <w:proofErr w:type="spellStart"/>
      <w:r w:rsidRPr="00C47326">
        <w:rPr>
          <w:rFonts w:ascii="標楷體-繁" w:eastAsia="標楷體-繁" w:hAnsi="標楷體-繁" w:hint="eastAsia"/>
          <w:color w:val="000000" w:themeColor="text1"/>
          <w:sz w:val="21"/>
          <w:szCs w:val="21"/>
        </w:rPr>
        <w:t>accumbens</w:t>
      </w:r>
      <w:proofErr w:type="spellEnd"/>
      <w:r w:rsidRPr="00C47326">
        <w:rPr>
          <w:rFonts w:ascii="標楷體-繁" w:eastAsia="標楷體-繁" w:hAnsi="標楷體-繁" w:hint="eastAsia"/>
          <w:color w:val="000000" w:themeColor="text1"/>
          <w:sz w:val="21"/>
          <w:szCs w:val="21"/>
        </w:rPr>
        <w:t xml:space="preserve"> of adolescent rats. Brain Res 1151 (2007): 211-218. 網址：https://doi.org/10.1016/j.brainres.2007.03.019；McDonald, C.G., Dailey, V.K., et al. </w:t>
      </w:r>
      <w:proofErr w:type="spellStart"/>
      <w:r w:rsidRPr="00C47326">
        <w:rPr>
          <w:rFonts w:ascii="標楷體-繁" w:eastAsia="標楷體-繁" w:hAnsi="標楷體-繁" w:hint="eastAsia"/>
          <w:color w:val="000000" w:themeColor="text1"/>
          <w:sz w:val="21"/>
          <w:szCs w:val="21"/>
        </w:rPr>
        <w:t>Periadolescent</w:t>
      </w:r>
      <w:proofErr w:type="spellEnd"/>
      <w:r w:rsidRPr="00C47326">
        <w:rPr>
          <w:rFonts w:ascii="標楷體-繁" w:eastAsia="標楷體-繁" w:hAnsi="標楷體-繁" w:hint="eastAsia"/>
          <w:color w:val="000000" w:themeColor="text1"/>
          <w:sz w:val="21"/>
          <w:szCs w:val="21"/>
        </w:rPr>
        <w:t xml:space="preserve"> nicotine administration produces enduring changes in dendritic morphology of medium spiny neurons from nucleus </w:t>
      </w:r>
      <w:proofErr w:type="spellStart"/>
      <w:r w:rsidRPr="00C47326">
        <w:rPr>
          <w:rFonts w:ascii="標楷體-繁" w:eastAsia="標楷體-繁" w:hAnsi="標楷體-繁" w:hint="eastAsia"/>
          <w:color w:val="000000" w:themeColor="text1"/>
          <w:sz w:val="21"/>
          <w:szCs w:val="21"/>
        </w:rPr>
        <w:t>accumbens</w:t>
      </w:r>
      <w:proofErr w:type="spellEnd"/>
      <w:r w:rsidRPr="00C47326">
        <w:rPr>
          <w:rFonts w:ascii="標楷體-繁" w:eastAsia="標楷體-繁" w:hAnsi="標楷體-繁" w:hint="eastAsia"/>
          <w:color w:val="000000" w:themeColor="text1"/>
          <w:sz w:val="21"/>
          <w:szCs w:val="21"/>
        </w:rPr>
        <w:t xml:space="preserve">. </w:t>
      </w:r>
      <w:proofErr w:type="spellStart"/>
      <w:r w:rsidRPr="00C47326">
        <w:rPr>
          <w:rFonts w:ascii="標楷體-繁" w:eastAsia="標楷體-繁" w:hAnsi="標楷體-繁" w:hint="eastAsia"/>
          <w:color w:val="000000" w:themeColor="text1"/>
          <w:sz w:val="21"/>
          <w:szCs w:val="21"/>
        </w:rPr>
        <w:t>Neurosci</w:t>
      </w:r>
      <w:proofErr w:type="spellEnd"/>
      <w:r w:rsidRPr="00C47326">
        <w:rPr>
          <w:rFonts w:ascii="標楷體-繁" w:eastAsia="標楷體-繁" w:hAnsi="標楷體-繁" w:hint="eastAsia"/>
          <w:color w:val="000000" w:themeColor="text1"/>
          <w:sz w:val="21"/>
          <w:szCs w:val="21"/>
        </w:rPr>
        <w:t xml:space="preserve"> Lett 385, no 2 (2005): 163-167. 網址：</w:t>
      </w:r>
      <w:r w:rsidRPr="00C47326">
        <w:rPr>
          <w:rFonts w:ascii="標楷體-繁" w:eastAsia="標楷體-繁" w:hAnsi="標楷體-繁"/>
          <w:color w:val="000000" w:themeColor="text1"/>
          <w:sz w:val="21"/>
          <w:szCs w:val="21"/>
        </w:rPr>
        <w:fldChar w:fldCharType="begin"/>
      </w:r>
      <w:r w:rsidRPr="00C47326">
        <w:rPr>
          <w:rFonts w:ascii="標楷體-繁" w:eastAsia="標楷體-繁" w:hAnsi="標楷體-繁"/>
          <w:color w:val="000000" w:themeColor="text1"/>
          <w:sz w:val="21"/>
          <w:szCs w:val="21"/>
        </w:rPr>
        <w:instrText xml:space="preserve"> </w:instrText>
      </w:r>
      <w:r w:rsidRPr="00C47326">
        <w:rPr>
          <w:rFonts w:ascii="標楷體-繁" w:eastAsia="標楷體-繁" w:hAnsi="標楷體-繁" w:hint="eastAsia"/>
          <w:color w:val="000000" w:themeColor="text1"/>
          <w:sz w:val="21"/>
          <w:szCs w:val="21"/>
        </w:rPr>
        <w:instrText>HYPERLINK "https://doi.org/10.1016/j.neulet.2005.05.041；E</w:instrText>
      </w:r>
      <w:r w:rsidRPr="00C47326">
        <w:rPr>
          <w:rFonts w:ascii="標楷體-繁" w:eastAsia="標楷體-繁" w:hAnsi="標楷體-繁"/>
          <w:color w:val="000000" w:themeColor="text1"/>
          <w:sz w:val="21"/>
          <w:szCs w:val="21"/>
        </w:rPr>
        <w:instrText>hlinger</w:instrText>
      </w:r>
      <w:r w:rsidRPr="00C47326">
        <w:rPr>
          <w:rFonts w:ascii="標楷體-繁" w:eastAsia="標楷體-繁" w:hAnsi="標楷體-繁" w:hint="eastAsia"/>
          <w:color w:val="000000" w:themeColor="text1"/>
          <w:sz w:val="21"/>
          <w:szCs w:val="21"/>
        </w:rPr>
        <w:instrText>"</w:instrText>
      </w:r>
      <w:r w:rsidRPr="00C47326">
        <w:rPr>
          <w:rFonts w:ascii="標楷體-繁" w:eastAsia="標楷體-繁" w:hAnsi="標楷體-繁"/>
          <w:color w:val="000000" w:themeColor="text1"/>
          <w:sz w:val="21"/>
          <w:szCs w:val="21"/>
        </w:rPr>
        <w:instrText xml:space="preserve"> </w:instrText>
      </w:r>
      <w:r w:rsidRPr="00C47326">
        <w:rPr>
          <w:rFonts w:ascii="標楷體-繁" w:eastAsia="標楷體-繁" w:hAnsi="標楷體-繁"/>
          <w:color w:val="000000" w:themeColor="text1"/>
          <w:sz w:val="21"/>
          <w:szCs w:val="21"/>
        </w:rPr>
        <w:fldChar w:fldCharType="separate"/>
      </w:r>
      <w:r w:rsidRPr="00C47326">
        <w:rPr>
          <w:rStyle w:val="af"/>
          <w:rFonts w:ascii="標楷體-繁" w:eastAsia="標楷體-繁" w:hAnsi="標楷體-繁" w:hint="eastAsia"/>
          <w:sz w:val="21"/>
          <w:szCs w:val="21"/>
        </w:rPr>
        <w:t>https://doi.org/10.1016/j.neulet.2005.05.041；E</w:t>
      </w:r>
      <w:r w:rsidRPr="00C47326">
        <w:rPr>
          <w:rStyle w:val="af"/>
          <w:rFonts w:ascii="標楷體-繁" w:eastAsia="標楷體-繁" w:hAnsi="標楷體-繁"/>
          <w:sz w:val="21"/>
          <w:szCs w:val="21"/>
        </w:rPr>
        <w:t>hlinger</w:t>
      </w:r>
      <w:r w:rsidRPr="00C47326">
        <w:rPr>
          <w:rFonts w:ascii="標楷體-繁" w:eastAsia="標楷體-繁" w:hAnsi="標楷體-繁"/>
          <w:color w:val="000000" w:themeColor="text1"/>
          <w:sz w:val="21"/>
          <w:szCs w:val="21"/>
        </w:rPr>
        <w:fldChar w:fldCharType="end"/>
      </w:r>
      <w:r w:rsidRPr="00C47326">
        <w:rPr>
          <w:rFonts w:ascii="標楷體-繁" w:eastAsia="標楷體-繁" w:hAnsi="標楷體-繁" w:hint="eastAsia"/>
          <w:color w:val="000000" w:themeColor="text1"/>
          <w:sz w:val="21"/>
          <w:szCs w:val="21"/>
        </w:rPr>
        <w:t xml:space="preserve"> DG, Bergstrom HC, Burke JC, et al. Adolescent nicotine-induced dendrite remodeling in the nucleus </w:t>
      </w:r>
      <w:proofErr w:type="spellStart"/>
      <w:r w:rsidRPr="00C47326">
        <w:rPr>
          <w:rFonts w:ascii="標楷體-繁" w:eastAsia="標楷體-繁" w:hAnsi="標楷體-繁" w:hint="eastAsia"/>
          <w:color w:val="000000" w:themeColor="text1"/>
          <w:sz w:val="21"/>
          <w:szCs w:val="21"/>
        </w:rPr>
        <w:t>accumbens</w:t>
      </w:r>
      <w:proofErr w:type="spellEnd"/>
      <w:r w:rsidRPr="00C47326">
        <w:rPr>
          <w:rFonts w:ascii="標楷體-繁" w:eastAsia="標楷體-繁" w:hAnsi="標楷體-繁" w:hint="eastAsia"/>
          <w:color w:val="000000" w:themeColor="text1"/>
          <w:sz w:val="21"/>
          <w:szCs w:val="21"/>
        </w:rPr>
        <w:t xml:space="preserve"> is rapid, persistent, and D1-dopamine receptor dependent. Brain Struct </w:t>
      </w:r>
      <w:proofErr w:type="spellStart"/>
      <w:r w:rsidRPr="00C47326">
        <w:rPr>
          <w:rFonts w:ascii="標楷體-繁" w:eastAsia="標楷體-繁" w:hAnsi="標楷體-繁" w:hint="eastAsia"/>
          <w:color w:val="000000" w:themeColor="text1"/>
          <w:sz w:val="21"/>
          <w:szCs w:val="21"/>
        </w:rPr>
        <w:t>Funct</w:t>
      </w:r>
      <w:proofErr w:type="spellEnd"/>
      <w:r w:rsidRPr="00C47326">
        <w:rPr>
          <w:rFonts w:ascii="標楷體-繁" w:eastAsia="標楷體-繁" w:hAnsi="標楷體-繁" w:hint="eastAsia"/>
          <w:color w:val="000000" w:themeColor="text1"/>
          <w:sz w:val="21"/>
          <w:szCs w:val="21"/>
        </w:rPr>
        <w:t xml:space="preserve"> 122, no 1 (2016): 133-145. 網址：</w:t>
      </w:r>
      <w:r w:rsidRPr="00C47326">
        <w:rPr>
          <w:rFonts w:ascii="標楷體-繁" w:eastAsia="標楷體-繁" w:hAnsi="標楷體-繁"/>
          <w:color w:val="000000" w:themeColor="text1"/>
          <w:sz w:val="21"/>
          <w:szCs w:val="21"/>
        </w:rPr>
        <w:fldChar w:fldCharType="begin"/>
      </w:r>
      <w:r w:rsidRPr="00C47326">
        <w:rPr>
          <w:rFonts w:ascii="標楷體-繁" w:eastAsia="標楷體-繁" w:hAnsi="標楷體-繁"/>
          <w:color w:val="000000" w:themeColor="text1"/>
          <w:sz w:val="21"/>
          <w:szCs w:val="21"/>
        </w:rPr>
        <w:instrText xml:space="preserve"> </w:instrText>
      </w:r>
      <w:r w:rsidRPr="00C47326">
        <w:rPr>
          <w:rFonts w:ascii="標楷體-繁" w:eastAsia="標楷體-繁" w:hAnsi="標楷體-繁" w:hint="eastAsia"/>
          <w:color w:val="000000" w:themeColor="text1"/>
          <w:sz w:val="21"/>
          <w:szCs w:val="21"/>
        </w:rPr>
        <w:instrText>HYPERLINK "https://doi.org/10.1007/s00429-014-0897-3；Happer"</w:instrText>
      </w:r>
      <w:r w:rsidRPr="00C47326">
        <w:rPr>
          <w:rFonts w:ascii="標楷體-繁" w:eastAsia="標楷體-繁" w:hAnsi="標楷體-繁"/>
          <w:color w:val="000000" w:themeColor="text1"/>
          <w:sz w:val="21"/>
          <w:szCs w:val="21"/>
        </w:rPr>
        <w:instrText xml:space="preserve"> </w:instrText>
      </w:r>
      <w:r w:rsidRPr="00C47326">
        <w:rPr>
          <w:rFonts w:ascii="標楷體-繁" w:eastAsia="標楷體-繁" w:hAnsi="標楷體-繁"/>
          <w:color w:val="000000" w:themeColor="text1"/>
          <w:sz w:val="21"/>
          <w:szCs w:val="21"/>
        </w:rPr>
        <w:fldChar w:fldCharType="separate"/>
      </w:r>
      <w:r w:rsidRPr="00C47326">
        <w:rPr>
          <w:rStyle w:val="af"/>
          <w:rFonts w:ascii="標楷體-繁" w:eastAsia="標楷體-繁" w:hAnsi="標楷體-繁" w:hint="eastAsia"/>
          <w:sz w:val="21"/>
          <w:szCs w:val="21"/>
        </w:rPr>
        <w:t>https://doi.org/10.1007/s00429-014-0897-3；Happer</w:t>
      </w:r>
      <w:r w:rsidRPr="00C47326">
        <w:rPr>
          <w:rFonts w:ascii="標楷體-繁" w:eastAsia="標楷體-繁" w:hAnsi="標楷體-繁"/>
          <w:color w:val="000000" w:themeColor="text1"/>
          <w:sz w:val="21"/>
          <w:szCs w:val="21"/>
        </w:rPr>
        <w:fldChar w:fldCharType="end"/>
      </w:r>
      <w:r w:rsidRPr="00C47326">
        <w:rPr>
          <w:rFonts w:ascii="標楷體-繁" w:eastAsia="標楷體-繁" w:hAnsi="標楷體-繁" w:hint="eastAsia"/>
          <w:color w:val="000000" w:themeColor="text1"/>
          <w:sz w:val="21"/>
          <w:szCs w:val="21"/>
        </w:rPr>
        <w:t xml:space="preserve"> JP, Courtney KE, Baca RE, et al. Nicotine use during late adolescence and young adulthood is associated with changes in hippocampal volume </w:t>
      </w:r>
      <w:r w:rsidRPr="00C47326">
        <w:rPr>
          <w:rFonts w:ascii="標楷體-繁" w:eastAsia="標楷體-繁" w:hAnsi="標楷體-繁" w:hint="eastAsia"/>
          <w:color w:val="000000" w:themeColor="text1"/>
          <w:sz w:val="21"/>
          <w:szCs w:val="21"/>
        </w:rPr>
        <w:lastRenderedPageBreak/>
        <w:t xml:space="preserve">and memory performance. Front </w:t>
      </w:r>
      <w:proofErr w:type="spellStart"/>
      <w:r w:rsidRPr="00C47326">
        <w:rPr>
          <w:rFonts w:ascii="標楷體-繁" w:eastAsia="標楷體-繁" w:hAnsi="標楷體-繁" w:hint="eastAsia"/>
          <w:color w:val="000000" w:themeColor="text1"/>
          <w:sz w:val="21"/>
          <w:szCs w:val="21"/>
        </w:rPr>
        <w:t>Neurosci</w:t>
      </w:r>
      <w:proofErr w:type="spellEnd"/>
      <w:r w:rsidRPr="00C47326">
        <w:rPr>
          <w:rFonts w:ascii="標楷體-繁" w:eastAsia="標楷體-繁" w:hAnsi="標楷體-繁" w:hint="eastAsia"/>
          <w:color w:val="000000" w:themeColor="text1"/>
          <w:sz w:val="21"/>
          <w:szCs w:val="21"/>
        </w:rPr>
        <w:t xml:space="preserve"> 18 (2024): 1436951. 網址：https://doi.org/10.3389/fnins.2024.1436951；</w:t>
      </w:r>
      <w:proofErr w:type="spellStart"/>
      <w:r w:rsidRPr="00C47326">
        <w:rPr>
          <w:rFonts w:ascii="標楷體-繁" w:eastAsia="標楷體-繁" w:hAnsi="標楷體-繁" w:hint="eastAsia"/>
          <w:color w:val="000000" w:themeColor="text1"/>
          <w:sz w:val="21"/>
          <w:szCs w:val="21"/>
        </w:rPr>
        <w:t>Chaarani</w:t>
      </w:r>
      <w:proofErr w:type="spellEnd"/>
      <w:r w:rsidRPr="00C47326">
        <w:rPr>
          <w:rFonts w:ascii="標楷體-繁" w:eastAsia="標楷體-繁" w:hAnsi="標楷體-繁" w:hint="eastAsia"/>
          <w:color w:val="000000" w:themeColor="text1"/>
          <w:sz w:val="21"/>
          <w:szCs w:val="21"/>
        </w:rPr>
        <w:t xml:space="preserve"> B, Kan KJ, Mackey S, et al. Low smoking exposure, the adolescent brain, and the modulating role of CHRNA5 polymorphisms. Biol Psychiatry </w:t>
      </w:r>
      <w:proofErr w:type="spellStart"/>
      <w:r w:rsidRPr="00C47326">
        <w:rPr>
          <w:rFonts w:ascii="標楷體-繁" w:eastAsia="標楷體-繁" w:hAnsi="標楷體-繁" w:hint="eastAsia"/>
          <w:color w:val="000000" w:themeColor="text1"/>
          <w:sz w:val="21"/>
          <w:szCs w:val="21"/>
        </w:rPr>
        <w:t>Cogn</w:t>
      </w:r>
      <w:proofErr w:type="spellEnd"/>
      <w:r w:rsidRPr="00C47326">
        <w:rPr>
          <w:rFonts w:ascii="標楷體-繁" w:eastAsia="標楷體-繁" w:hAnsi="標楷體-繁" w:hint="eastAsia"/>
          <w:color w:val="000000" w:themeColor="text1"/>
          <w:sz w:val="21"/>
          <w:szCs w:val="21"/>
        </w:rPr>
        <w:t xml:space="preserve"> </w:t>
      </w:r>
      <w:proofErr w:type="spellStart"/>
      <w:r w:rsidRPr="00C47326">
        <w:rPr>
          <w:rFonts w:ascii="標楷體-繁" w:eastAsia="標楷體-繁" w:hAnsi="標楷體-繁" w:hint="eastAsia"/>
          <w:color w:val="000000" w:themeColor="text1"/>
          <w:sz w:val="21"/>
          <w:szCs w:val="21"/>
        </w:rPr>
        <w:t>Neurosci</w:t>
      </w:r>
      <w:proofErr w:type="spellEnd"/>
      <w:r w:rsidRPr="00C47326">
        <w:rPr>
          <w:rFonts w:ascii="標楷體-繁" w:eastAsia="標楷體-繁" w:hAnsi="標楷體-繁" w:hint="eastAsia"/>
          <w:color w:val="000000" w:themeColor="text1"/>
          <w:sz w:val="21"/>
          <w:szCs w:val="21"/>
        </w:rPr>
        <w:t xml:space="preserve"> Neuroimaging 4, no 8 (2019): 672-679. 網址：</w:t>
      </w:r>
      <w:r w:rsidRPr="00C47326">
        <w:rPr>
          <w:rFonts w:ascii="標楷體-繁" w:eastAsia="標楷體-繁" w:hAnsi="標楷體-繁"/>
          <w:color w:val="000000" w:themeColor="text1"/>
          <w:sz w:val="21"/>
          <w:szCs w:val="21"/>
        </w:rPr>
        <w:fldChar w:fldCharType="begin"/>
      </w:r>
      <w:r w:rsidRPr="00C47326">
        <w:rPr>
          <w:rFonts w:ascii="標楷體-繁" w:eastAsia="標楷體-繁" w:hAnsi="標楷體-繁"/>
          <w:color w:val="000000" w:themeColor="text1"/>
          <w:sz w:val="21"/>
          <w:szCs w:val="21"/>
        </w:rPr>
        <w:instrText xml:space="preserve"> </w:instrText>
      </w:r>
      <w:r w:rsidRPr="00C47326">
        <w:rPr>
          <w:rFonts w:ascii="標楷體-繁" w:eastAsia="標楷體-繁" w:hAnsi="標楷體-繁" w:hint="eastAsia"/>
          <w:color w:val="000000" w:themeColor="text1"/>
          <w:sz w:val="21"/>
          <w:szCs w:val="21"/>
        </w:rPr>
        <w:instrText>HYPERLINK "https://doi.org/10.1016/j.bpsc.2019.02.006"</w:instrText>
      </w:r>
      <w:r w:rsidRPr="00C47326">
        <w:rPr>
          <w:rFonts w:ascii="標楷體-繁" w:eastAsia="標楷體-繁" w:hAnsi="標楷體-繁"/>
          <w:color w:val="000000" w:themeColor="text1"/>
          <w:sz w:val="21"/>
          <w:szCs w:val="21"/>
        </w:rPr>
        <w:instrText xml:space="preserve"> </w:instrText>
      </w:r>
      <w:r w:rsidRPr="00C47326">
        <w:rPr>
          <w:rFonts w:ascii="標楷體-繁" w:eastAsia="標楷體-繁" w:hAnsi="標楷體-繁"/>
          <w:color w:val="000000" w:themeColor="text1"/>
          <w:sz w:val="21"/>
          <w:szCs w:val="21"/>
        </w:rPr>
        <w:fldChar w:fldCharType="separate"/>
      </w:r>
      <w:r w:rsidRPr="00C47326">
        <w:rPr>
          <w:rStyle w:val="af"/>
          <w:rFonts w:ascii="標楷體-繁" w:eastAsia="標楷體-繁" w:hAnsi="標楷體-繁" w:hint="eastAsia"/>
          <w:sz w:val="21"/>
          <w:szCs w:val="21"/>
        </w:rPr>
        <w:t>https://doi.org/10.1016/j.bpsc.2019.02.006</w:t>
      </w:r>
      <w:r w:rsidRPr="00C47326">
        <w:rPr>
          <w:rFonts w:ascii="標楷體-繁" w:eastAsia="標楷體-繁" w:hAnsi="標楷體-繁"/>
          <w:color w:val="000000" w:themeColor="text1"/>
          <w:sz w:val="21"/>
          <w:szCs w:val="21"/>
        </w:rPr>
        <w:fldChar w:fldCharType="end"/>
      </w:r>
      <w:r w:rsidRPr="00C47326">
        <w:rPr>
          <w:rFonts w:ascii="標楷體-繁" w:eastAsia="標楷體-繁" w:hAnsi="標楷體-繁" w:hint="eastAsia"/>
          <w:color w:val="000000" w:themeColor="text1"/>
          <w:sz w:val="21"/>
          <w:szCs w:val="21"/>
        </w:rPr>
        <w:t>。</w:t>
      </w:r>
    </w:p>
    <w:p w14:paraId="46024D07" w14:textId="21D23BB6" w:rsidR="00251D92" w:rsidRPr="00C47326" w:rsidRDefault="00251D92" w:rsidP="00251D92">
      <w:pPr>
        <w:rPr>
          <w:rFonts w:ascii="標楷體-繁" w:eastAsia="標楷體-繁" w:hAnsi="標楷體-繁"/>
          <w:color w:val="000000" w:themeColor="text1"/>
          <w:sz w:val="21"/>
          <w:szCs w:val="21"/>
        </w:rPr>
      </w:pPr>
      <w:r w:rsidRPr="00C47326">
        <w:rPr>
          <w:rFonts w:ascii="標楷體-繁" w:eastAsia="標楷體-繁" w:hAnsi="標楷體-繁" w:hint="eastAsia"/>
          <w:color w:val="000000" w:themeColor="text1"/>
          <w:sz w:val="21"/>
          <w:szCs w:val="21"/>
        </w:rPr>
        <w:t>29 Groom, A.L., T.T. Vu, A. Kesh, et al. "Correlates of Youth Vaping Flavor Preferences." Preventive Medicine Reports 18 (2020): 101094. 網址：https://doi.org/10.1016/j.pmedr.2020.101094。</w:t>
      </w:r>
    </w:p>
    <w:p w14:paraId="52CE2588" w14:textId="150CA4C9" w:rsidR="00D30E3C" w:rsidRPr="00C47326" w:rsidRDefault="00251D92" w:rsidP="00251D92">
      <w:pPr>
        <w:rPr>
          <w:rFonts w:ascii="標楷體-繁" w:eastAsia="標楷體-繁" w:hAnsi="標楷體-繁"/>
          <w:color w:val="000000" w:themeColor="text1"/>
          <w:sz w:val="21"/>
          <w:szCs w:val="21"/>
        </w:rPr>
      </w:pPr>
      <w:r w:rsidRPr="00C47326">
        <w:rPr>
          <w:rFonts w:ascii="標楷體-繁" w:eastAsia="標楷體-繁" w:hAnsi="標楷體-繁" w:hint="eastAsia"/>
          <w:color w:val="000000" w:themeColor="text1"/>
          <w:sz w:val="21"/>
          <w:szCs w:val="21"/>
        </w:rPr>
        <w:t xml:space="preserve">30 Leventhal, A.M., N.I. </w:t>
      </w:r>
      <w:proofErr w:type="spellStart"/>
      <w:r w:rsidRPr="00C47326">
        <w:rPr>
          <w:rFonts w:ascii="標楷體-繁" w:eastAsia="標楷體-繁" w:hAnsi="標楷體-繁" w:hint="eastAsia"/>
          <w:color w:val="000000" w:themeColor="text1"/>
          <w:sz w:val="21"/>
          <w:szCs w:val="21"/>
        </w:rPr>
        <w:t>Goldenson</w:t>
      </w:r>
      <w:proofErr w:type="spellEnd"/>
      <w:r w:rsidRPr="00C47326">
        <w:rPr>
          <w:rFonts w:ascii="標楷體-繁" w:eastAsia="標楷體-繁" w:hAnsi="標楷體-繁" w:hint="eastAsia"/>
          <w:color w:val="000000" w:themeColor="text1"/>
          <w:sz w:val="21"/>
          <w:szCs w:val="21"/>
        </w:rPr>
        <w:t>, J. Cho, et al. "Flavored E-Cigarette Use and Progression of Vaping in Adolescents." Pediatrics 144, no. 5 (2019): e20190789. 網址：</w:t>
      </w:r>
      <w:r w:rsidR="00D30E3C" w:rsidRPr="00C47326">
        <w:rPr>
          <w:rFonts w:ascii="標楷體-繁" w:eastAsia="標楷體-繁" w:hAnsi="標楷體-繁"/>
          <w:color w:val="000000" w:themeColor="text1"/>
          <w:sz w:val="21"/>
          <w:szCs w:val="21"/>
        </w:rPr>
        <w:fldChar w:fldCharType="begin"/>
      </w:r>
      <w:r w:rsidR="00D30E3C" w:rsidRPr="00C47326">
        <w:rPr>
          <w:rFonts w:ascii="標楷體-繁" w:eastAsia="標楷體-繁" w:hAnsi="標楷體-繁"/>
          <w:color w:val="000000" w:themeColor="text1"/>
          <w:sz w:val="21"/>
          <w:szCs w:val="21"/>
        </w:rPr>
        <w:instrText xml:space="preserve"> </w:instrText>
      </w:r>
      <w:r w:rsidR="00D30E3C" w:rsidRPr="00C47326">
        <w:rPr>
          <w:rFonts w:ascii="標楷體-繁" w:eastAsia="標楷體-繁" w:hAnsi="標楷體-繁" w:hint="eastAsia"/>
          <w:color w:val="000000" w:themeColor="text1"/>
          <w:sz w:val="21"/>
          <w:szCs w:val="21"/>
        </w:rPr>
        <w:instrText>HYPERLINK "https://doi.org/10.1542/peds.2019-0789"</w:instrText>
      </w:r>
      <w:r w:rsidR="00D30E3C" w:rsidRPr="00C47326">
        <w:rPr>
          <w:rFonts w:ascii="標楷體-繁" w:eastAsia="標楷體-繁" w:hAnsi="標楷體-繁"/>
          <w:color w:val="000000" w:themeColor="text1"/>
          <w:sz w:val="21"/>
          <w:szCs w:val="21"/>
        </w:rPr>
        <w:instrText xml:space="preserve"> </w:instrText>
      </w:r>
      <w:r w:rsidR="00D30E3C" w:rsidRPr="00C47326">
        <w:rPr>
          <w:rFonts w:ascii="標楷體-繁" w:eastAsia="標楷體-繁" w:hAnsi="標楷體-繁"/>
          <w:color w:val="000000" w:themeColor="text1"/>
          <w:sz w:val="21"/>
          <w:szCs w:val="21"/>
        </w:rPr>
        <w:fldChar w:fldCharType="separate"/>
      </w:r>
      <w:r w:rsidR="00D30E3C" w:rsidRPr="00C47326">
        <w:rPr>
          <w:rStyle w:val="af"/>
          <w:rFonts w:ascii="標楷體-繁" w:eastAsia="標楷體-繁" w:hAnsi="標楷體-繁" w:hint="eastAsia"/>
          <w:sz w:val="21"/>
          <w:szCs w:val="21"/>
        </w:rPr>
        <w:t>https://doi.org/10.1542/peds.2019-0789</w:t>
      </w:r>
      <w:r w:rsidR="00D30E3C" w:rsidRPr="00C47326">
        <w:rPr>
          <w:rFonts w:ascii="標楷體-繁" w:eastAsia="標楷體-繁" w:hAnsi="標楷體-繁"/>
          <w:color w:val="000000" w:themeColor="text1"/>
          <w:sz w:val="21"/>
          <w:szCs w:val="21"/>
        </w:rPr>
        <w:fldChar w:fldCharType="end"/>
      </w:r>
      <w:r w:rsidRPr="00C47326">
        <w:rPr>
          <w:rFonts w:ascii="標楷體-繁" w:eastAsia="標楷體-繁" w:hAnsi="標楷體-繁" w:hint="eastAsia"/>
          <w:color w:val="000000" w:themeColor="text1"/>
          <w:sz w:val="21"/>
          <w:szCs w:val="21"/>
        </w:rPr>
        <w:t>。</w:t>
      </w:r>
    </w:p>
    <w:p w14:paraId="5741E15F" w14:textId="022C19E8" w:rsidR="00091A37" w:rsidRDefault="00D30E3C" w:rsidP="00251D92">
      <w:pPr>
        <w:rPr>
          <w:rFonts w:ascii="標楷體-繁" w:eastAsia="標楷體-繁" w:hAnsi="標楷體-繁"/>
          <w:color w:val="000000" w:themeColor="text1"/>
        </w:rPr>
      </w:pPr>
      <w:r w:rsidRPr="00C47326">
        <w:rPr>
          <w:rFonts w:ascii="標楷體-繁" w:eastAsia="標楷體-繁" w:hAnsi="標楷體-繁" w:hint="eastAsia"/>
          <w:color w:val="000000" w:themeColor="text1"/>
          <w:sz w:val="21"/>
          <w:szCs w:val="21"/>
        </w:rPr>
        <w:t xml:space="preserve">31 見 FDA v. Wages &amp; White Lion </w:t>
      </w:r>
      <w:proofErr w:type="spellStart"/>
      <w:r w:rsidRPr="00C47326">
        <w:rPr>
          <w:rFonts w:ascii="標楷體-繁" w:eastAsia="標楷體-繁" w:hAnsi="標楷體-繁" w:hint="eastAsia"/>
          <w:color w:val="000000" w:themeColor="text1"/>
          <w:sz w:val="21"/>
          <w:szCs w:val="21"/>
        </w:rPr>
        <w:t>Invs</w:t>
      </w:r>
      <w:proofErr w:type="spellEnd"/>
      <w:r w:rsidRPr="00C47326">
        <w:rPr>
          <w:rFonts w:ascii="標楷體-繁" w:eastAsia="標楷體-繁" w:hAnsi="標楷體-繁" w:hint="eastAsia"/>
          <w:color w:val="000000" w:themeColor="text1"/>
          <w:sz w:val="21"/>
          <w:szCs w:val="21"/>
        </w:rPr>
        <w:t>., 604 U.S. 542 (</w:t>
      </w:r>
      <w:proofErr w:type="gramStart"/>
      <w:r w:rsidRPr="00C47326">
        <w:rPr>
          <w:rFonts w:ascii="標楷體-繁" w:eastAsia="標楷體-繁" w:hAnsi="標楷體-繁" w:hint="eastAsia"/>
          <w:color w:val="000000" w:themeColor="text1"/>
          <w:sz w:val="21"/>
          <w:szCs w:val="21"/>
        </w:rPr>
        <w:t>2025)（</w:t>
      </w:r>
      <w:proofErr w:type="gramEnd"/>
      <w:r w:rsidRPr="00C47326">
        <w:rPr>
          <w:rFonts w:ascii="標楷體-繁" w:eastAsia="標楷體-繁" w:hAnsi="標楷體-繁" w:hint="eastAsia"/>
          <w:color w:val="000000" w:themeColor="text1"/>
          <w:sz w:val="21"/>
          <w:szCs w:val="21"/>
        </w:rPr>
        <w:t>認定 FDA 拒絕核准加味 ENDS 上市之決定，與 APPH 標準、本機關關於支持菸草產品上市前申請所需科學證據之指引，以及將擬議產品與其他產品進行比較之需求，均具有足夠一致性）。</w:t>
      </w:r>
      <w:r w:rsidR="00091A37">
        <w:rPr>
          <w:rFonts w:ascii="標楷體-繁" w:eastAsia="標楷體-繁" w:hAnsi="標楷體-繁"/>
          <w:color w:val="000000" w:themeColor="text1"/>
        </w:rPr>
        <w:br w:type="page"/>
      </w:r>
    </w:p>
    <w:p w14:paraId="0CB116E9" w14:textId="77777777" w:rsidR="00D30E3C" w:rsidRPr="00D30E3C" w:rsidRDefault="00D30E3C" w:rsidP="00D30E3C">
      <w:pPr>
        <w:pStyle w:val="Compact"/>
        <w:jc w:val="center"/>
        <w:rPr>
          <w:rFonts w:ascii="標楷體-繁" w:eastAsia="標楷體-繁" w:hAnsi="標楷體-繁"/>
          <w:b/>
          <w:bCs/>
          <w:color w:val="000000" w:themeColor="text1"/>
        </w:rPr>
      </w:pPr>
      <w:r w:rsidRPr="00D30E3C">
        <w:rPr>
          <w:rFonts w:ascii="標楷體-繁" w:eastAsia="標楷體-繁" w:hAnsi="標楷體-繁" w:hint="eastAsia"/>
          <w:b/>
          <w:bCs/>
          <w:color w:val="000000" w:themeColor="text1"/>
        </w:rPr>
        <w:lastRenderedPageBreak/>
        <w:t>含非約束性建議</w:t>
      </w:r>
    </w:p>
    <w:p w14:paraId="39DAFAF0" w14:textId="6EB6FC36" w:rsidR="00091A37" w:rsidRDefault="00091A37" w:rsidP="006B79D7">
      <w:pPr>
        <w:pStyle w:val="Compact"/>
        <w:jc w:val="both"/>
        <w:rPr>
          <w:rFonts w:ascii="標楷體-繁" w:eastAsia="標楷體-繁" w:hAnsi="標楷體-繁"/>
          <w:color w:val="000000" w:themeColor="text1"/>
        </w:rPr>
      </w:pPr>
    </w:p>
    <w:p w14:paraId="6B9DCD5B" w14:textId="77777777" w:rsidR="00D30E3C" w:rsidRPr="00D30E3C" w:rsidRDefault="00D30E3C" w:rsidP="00D30E3C">
      <w:pPr>
        <w:pStyle w:val="Compact"/>
        <w:jc w:val="both"/>
        <w:rPr>
          <w:rFonts w:ascii="標楷體-繁" w:eastAsia="標楷體-繁" w:hAnsi="標楷體-繁"/>
          <w:color w:val="000000" w:themeColor="text1"/>
        </w:rPr>
      </w:pPr>
      <w:r w:rsidRPr="00D30E3C">
        <w:rPr>
          <w:rFonts w:ascii="標楷體-繁" w:eastAsia="標楷體-繁" w:hAnsi="標楷體-繁" w:hint="eastAsia"/>
          <w:color w:val="000000" w:themeColor="text1"/>
        </w:rPr>
        <w:t>雖然依 FDA 迄今之經驗，ENDS 中所有風味相較於菸草味 ENDS 均對青少年呈現較高風險，但 FDA 認知到，不同加味 ENDS 產品依其風味特徵，對青少年起始使用與使用可能呈現實質不同之風險。因此，FDA 在權衡風險與利益時，將考量有關特定風味所造成之青少年起始使用與使用風險程度之證據。然而，我們注意到，若某些風味對青少年之高風險已屬眾所周知且已確立，例如目前水果及糖果／甜點／其他甜味等風味，即使依此滑動尺度，其舉證負擔仍然很高。</w:t>
      </w:r>
    </w:p>
    <w:p w14:paraId="1FDC11C6" w14:textId="77777777" w:rsidR="00D30E3C" w:rsidRPr="00D30E3C" w:rsidRDefault="00D30E3C" w:rsidP="00D30E3C">
      <w:pPr>
        <w:pStyle w:val="Compact"/>
        <w:jc w:val="both"/>
        <w:rPr>
          <w:rFonts w:ascii="標楷體-繁" w:eastAsia="標楷體-繁" w:hAnsi="標楷體-繁"/>
          <w:color w:val="000000" w:themeColor="text1"/>
        </w:rPr>
      </w:pPr>
    </w:p>
    <w:p w14:paraId="58A29A31" w14:textId="77777777" w:rsidR="00D30E3C" w:rsidRPr="00D30E3C" w:rsidRDefault="00D30E3C" w:rsidP="00D30E3C">
      <w:pPr>
        <w:pStyle w:val="Compact"/>
        <w:jc w:val="both"/>
        <w:rPr>
          <w:rFonts w:ascii="標楷體-繁" w:eastAsia="標楷體-繁" w:hAnsi="標楷體-繁"/>
          <w:color w:val="000000" w:themeColor="text1"/>
        </w:rPr>
      </w:pPr>
      <w:r w:rsidRPr="00C47E1B">
        <w:rPr>
          <w:rFonts w:ascii="標楷體-繁" w:eastAsia="標楷體-繁" w:hAnsi="標楷體-繁" w:hint="eastAsia"/>
          <w:color w:val="000000" w:themeColor="text1"/>
          <w:highlight w:val="cyan"/>
        </w:rPr>
        <w:t>若申請人提交有關成年人完全轉換或顯著減少可燃式香菸使用之產品特定證據，以及其他有關相較於菸草味 ENDS 之潛在利益之證據，FDA 將依該產品風味特徵對青少年所造成之相對風險按比例考量該等證據。</w:t>
      </w:r>
      <w:r w:rsidRPr="007D2679">
        <w:rPr>
          <w:rFonts w:ascii="標楷體-繁" w:eastAsia="標楷體-繁" w:hAnsi="標楷體-繁" w:hint="eastAsia"/>
          <w:color w:val="000000" w:themeColor="text1"/>
          <w:highlight w:val="cyan"/>
        </w:rPr>
        <w:t>某些風味可能被證明對青少年之吸引力較低，也許例如咖啡、茶或香辛料，因此其對青少年之吸引風險可能較低，若其相較於菸草味產品所提供之額外利益相對較小，仍可能符合 APPH。</w:t>
      </w:r>
    </w:p>
    <w:p w14:paraId="71022BA8" w14:textId="77777777" w:rsidR="00D30E3C" w:rsidRPr="00D30E3C" w:rsidRDefault="00D30E3C" w:rsidP="00D30E3C">
      <w:pPr>
        <w:pStyle w:val="Compact"/>
        <w:jc w:val="both"/>
        <w:rPr>
          <w:rFonts w:ascii="標楷體-繁" w:eastAsia="標楷體-繁" w:hAnsi="標楷體-繁"/>
          <w:color w:val="000000" w:themeColor="text1"/>
        </w:rPr>
      </w:pPr>
    </w:p>
    <w:p w14:paraId="7B51AE69" w14:textId="77777777" w:rsidR="00D30E3C" w:rsidRPr="00D30E3C" w:rsidRDefault="00D30E3C" w:rsidP="00D30E3C">
      <w:pPr>
        <w:pStyle w:val="Compact"/>
        <w:jc w:val="both"/>
        <w:rPr>
          <w:rFonts w:ascii="標楷體-繁" w:eastAsia="標楷體-繁" w:hAnsi="標楷體-繁"/>
          <w:color w:val="000000" w:themeColor="text1"/>
        </w:rPr>
      </w:pPr>
      <w:r w:rsidRPr="007D2679">
        <w:rPr>
          <w:rFonts w:ascii="標楷體-繁" w:eastAsia="標楷體-繁" w:hAnsi="標楷體-繁" w:hint="eastAsia"/>
          <w:color w:val="000000" w:themeColor="text1"/>
          <w:highlight w:val="cyan"/>
        </w:rPr>
        <w:t>FDA 在作成 APPH 判定時，會考量對整體人口之全部潛在公共衛生風險與利益，包括產品特定風險，例如暴露於有害或潛在有害成分（HPHCs）。</w:t>
      </w:r>
    </w:p>
    <w:p w14:paraId="079CDF05" w14:textId="77777777" w:rsidR="00D30E3C" w:rsidRPr="00D30E3C" w:rsidRDefault="00D30E3C" w:rsidP="00D30E3C">
      <w:pPr>
        <w:pStyle w:val="Compact"/>
        <w:jc w:val="both"/>
        <w:rPr>
          <w:rFonts w:ascii="標楷體-繁" w:eastAsia="標楷體-繁" w:hAnsi="標楷體-繁"/>
          <w:color w:val="000000" w:themeColor="text1"/>
        </w:rPr>
      </w:pPr>
    </w:p>
    <w:p w14:paraId="28247372" w14:textId="77777777" w:rsidR="00D30E3C" w:rsidRPr="00D30E3C" w:rsidRDefault="00D30E3C" w:rsidP="00D30E3C">
      <w:pPr>
        <w:pStyle w:val="Compact"/>
        <w:jc w:val="both"/>
        <w:rPr>
          <w:rFonts w:ascii="標楷體-繁" w:eastAsia="標楷體-繁" w:hAnsi="標楷體-繁"/>
          <w:color w:val="000000" w:themeColor="text1"/>
        </w:rPr>
      </w:pPr>
      <w:r w:rsidRPr="00D30E3C">
        <w:rPr>
          <w:rFonts w:ascii="標楷體-繁" w:eastAsia="標楷體-繁" w:hAnsi="標楷體-繁" w:hint="eastAsia"/>
          <w:color w:val="000000" w:themeColor="text1"/>
        </w:rPr>
        <w:t>FDA 承認，可取得資料並未涵蓋每一種具體風味描述或配方。儘管如此，FDA 在 APPH 評估中，仍可能考量有關整體人口層級趨勢、偏好資料、起始使用／戒用模式、轉換情形，以及其他相關科學證據之公開可得資訊，以便在 APPH 判定上對不同風味類別作出合理區分。申請人亦可提供有關該產品可能造成青少年起始使用與使用程度之產品特定資訊。然而，我們指出，許多在調查中看似未被青少年使用（或使用極少）之產品，仍可能對青少年具吸引力，而某一產品看似未被青少年廣泛使用，可能是調查進行方式或產品分銷較有限等其他因素所致。最終，證明產品符合 APPH 之責任仍由申請人承擔。若 FDA 並無足夠資訊評估產品之潛在風險與利益，包括對青少年之潛在風險，則申請人即未能履行其證明產品符合 APPH 之舉證責任。32</w:t>
      </w:r>
    </w:p>
    <w:p w14:paraId="196DB1D6" w14:textId="25EA7803" w:rsidR="00D30E3C" w:rsidRDefault="00D30E3C" w:rsidP="00D30E3C">
      <w:pPr>
        <w:pStyle w:val="Compact"/>
        <w:jc w:val="both"/>
        <w:rPr>
          <w:rFonts w:ascii="標楷體-繁" w:eastAsia="標楷體-繁" w:hAnsi="標楷體-繁"/>
          <w:color w:val="000000" w:themeColor="text1"/>
          <w:sz w:val="21"/>
          <w:szCs w:val="21"/>
        </w:rPr>
      </w:pPr>
    </w:p>
    <w:p w14:paraId="2F0ACC81" w14:textId="4C543A4B" w:rsidR="00C47326" w:rsidRDefault="00C47326" w:rsidP="00D30E3C">
      <w:pPr>
        <w:pStyle w:val="Compact"/>
        <w:jc w:val="both"/>
        <w:rPr>
          <w:rFonts w:ascii="標楷體-繁" w:eastAsia="標楷體-繁" w:hAnsi="標楷體-繁"/>
          <w:color w:val="000000" w:themeColor="text1"/>
          <w:sz w:val="21"/>
          <w:szCs w:val="21"/>
        </w:rPr>
      </w:pPr>
    </w:p>
    <w:p w14:paraId="564D2962" w14:textId="69398225" w:rsidR="00C47326" w:rsidRDefault="00C47326" w:rsidP="00D30E3C">
      <w:pPr>
        <w:pStyle w:val="Compact"/>
        <w:jc w:val="both"/>
        <w:rPr>
          <w:rFonts w:ascii="標楷體-繁" w:eastAsia="標楷體-繁" w:hAnsi="標楷體-繁"/>
          <w:color w:val="000000" w:themeColor="text1"/>
          <w:sz w:val="21"/>
          <w:szCs w:val="21"/>
        </w:rPr>
      </w:pPr>
    </w:p>
    <w:p w14:paraId="5E42B4B5" w14:textId="401B79D7" w:rsidR="00C47326" w:rsidRDefault="00C47326" w:rsidP="00D30E3C">
      <w:pPr>
        <w:pStyle w:val="Compact"/>
        <w:jc w:val="both"/>
        <w:rPr>
          <w:rFonts w:ascii="標楷體-繁" w:eastAsia="標楷體-繁" w:hAnsi="標楷體-繁"/>
          <w:color w:val="000000" w:themeColor="text1"/>
          <w:sz w:val="21"/>
          <w:szCs w:val="21"/>
        </w:rPr>
      </w:pPr>
    </w:p>
    <w:p w14:paraId="791E1122" w14:textId="177EEC2A" w:rsidR="00C47326" w:rsidRDefault="00C47326" w:rsidP="00D30E3C">
      <w:pPr>
        <w:pStyle w:val="Compact"/>
        <w:jc w:val="both"/>
        <w:rPr>
          <w:rFonts w:ascii="標楷體-繁" w:eastAsia="標楷體-繁" w:hAnsi="標楷體-繁"/>
          <w:color w:val="000000" w:themeColor="text1"/>
          <w:sz w:val="21"/>
          <w:szCs w:val="21"/>
        </w:rPr>
      </w:pPr>
    </w:p>
    <w:p w14:paraId="7B36C9A4" w14:textId="7FE2963B" w:rsidR="00C47326" w:rsidRDefault="00C47326" w:rsidP="00D30E3C">
      <w:pPr>
        <w:pStyle w:val="Compact"/>
        <w:jc w:val="both"/>
        <w:rPr>
          <w:rFonts w:ascii="標楷體-繁" w:eastAsia="標楷體-繁" w:hAnsi="標楷體-繁"/>
          <w:color w:val="000000" w:themeColor="text1"/>
          <w:sz w:val="21"/>
          <w:szCs w:val="21"/>
        </w:rPr>
      </w:pPr>
    </w:p>
    <w:p w14:paraId="32AA46CD" w14:textId="496AF991" w:rsidR="00C47326" w:rsidRDefault="00C47326" w:rsidP="00D30E3C">
      <w:pPr>
        <w:pStyle w:val="Compact"/>
        <w:jc w:val="both"/>
        <w:rPr>
          <w:rFonts w:ascii="標楷體-繁" w:eastAsia="標楷體-繁" w:hAnsi="標楷體-繁"/>
          <w:color w:val="000000" w:themeColor="text1"/>
          <w:sz w:val="21"/>
          <w:szCs w:val="21"/>
        </w:rPr>
      </w:pPr>
    </w:p>
    <w:p w14:paraId="27F51A60" w14:textId="0101A188" w:rsidR="00C47326" w:rsidRDefault="00C47326" w:rsidP="00D30E3C">
      <w:pPr>
        <w:pStyle w:val="Compact"/>
        <w:jc w:val="both"/>
        <w:rPr>
          <w:rFonts w:ascii="標楷體-繁" w:eastAsia="標楷體-繁" w:hAnsi="標楷體-繁"/>
          <w:color w:val="000000" w:themeColor="text1"/>
          <w:sz w:val="21"/>
          <w:szCs w:val="21"/>
        </w:rPr>
      </w:pPr>
    </w:p>
    <w:p w14:paraId="369E8AEA" w14:textId="7B4408CC" w:rsidR="00C47326" w:rsidRDefault="00C47326" w:rsidP="00D30E3C">
      <w:pPr>
        <w:pStyle w:val="Compact"/>
        <w:jc w:val="both"/>
        <w:rPr>
          <w:rFonts w:ascii="標楷體-繁" w:eastAsia="標楷體-繁" w:hAnsi="標楷體-繁"/>
          <w:color w:val="000000" w:themeColor="text1"/>
          <w:sz w:val="21"/>
          <w:szCs w:val="21"/>
        </w:rPr>
      </w:pPr>
    </w:p>
    <w:p w14:paraId="6165421B" w14:textId="77777777" w:rsidR="00C47326" w:rsidRPr="00C47326" w:rsidRDefault="00C47326" w:rsidP="00D30E3C">
      <w:pPr>
        <w:pStyle w:val="Compact"/>
        <w:jc w:val="both"/>
        <w:rPr>
          <w:rFonts w:ascii="標楷體-繁" w:eastAsia="標楷體-繁" w:hAnsi="標楷體-繁"/>
          <w:color w:val="000000" w:themeColor="text1"/>
          <w:sz w:val="21"/>
          <w:szCs w:val="21"/>
        </w:rPr>
      </w:pPr>
    </w:p>
    <w:p w14:paraId="1AC6755B" w14:textId="11843200" w:rsidR="00091A37" w:rsidRPr="00C47326" w:rsidRDefault="00D30E3C" w:rsidP="00C47326">
      <w:pPr>
        <w:pStyle w:val="Compact"/>
        <w:jc w:val="both"/>
        <w:rPr>
          <w:rFonts w:ascii="標楷體-繁" w:eastAsia="標楷體-繁" w:hAnsi="標楷體-繁"/>
          <w:color w:val="000000" w:themeColor="text1"/>
          <w:sz w:val="21"/>
          <w:szCs w:val="21"/>
        </w:rPr>
      </w:pPr>
      <w:r w:rsidRPr="00C47326">
        <w:rPr>
          <w:rFonts w:ascii="標楷體-繁" w:eastAsia="標楷體-繁" w:hAnsi="標楷體-繁" w:hint="eastAsia"/>
          <w:color w:val="000000" w:themeColor="text1"/>
          <w:sz w:val="21"/>
          <w:szCs w:val="21"/>
        </w:rPr>
        <w:t>32 21 U.S.C. 387j(c)(2)(A)。</w:t>
      </w:r>
      <w:r w:rsidR="00091A37">
        <w:rPr>
          <w:rFonts w:ascii="標楷體-繁" w:eastAsia="標楷體-繁" w:hAnsi="標楷體-繁"/>
          <w:color w:val="000000" w:themeColor="text1"/>
        </w:rPr>
        <w:br w:type="page"/>
      </w:r>
    </w:p>
    <w:p w14:paraId="2B61FFB4" w14:textId="77777777" w:rsidR="00D30E3C" w:rsidRPr="00D30E3C" w:rsidRDefault="00D30E3C" w:rsidP="00D30E3C">
      <w:pPr>
        <w:pStyle w:val="Compact"/>
        <w:jc w:val="center"/>
        <w:rPr>
          <w:rFonts w:ascii="標楷體-繁" w:eastAsia="標楷體-繁" w:hAnsi="標楷體-繁"/>
          <w:b/>
          <w:bCs/>
          <w:color w:val="000000" w:themeColor="text1"/>
        </w:rPr>
      </w:pPr>
      <w:r w:rsidRPr="00D30E3C">
        <w:rPr>
          <w:rFonts w:ascii="標楷體-繁" w:eastAsia="標楷體-繁" w:hAnsi="標楷體-繁" w:hint="eastAsia"/>
          <w:b/>
          <w:bCs/>
          <w:color w:val="000000" w:themeColor="text1"/>
        </w:rPr>
        <w:lastRenderedPageBreak/>
        <w:t>含非約束性建議</w:t>
      </w:r>
    </w:p>
    <w:p w14:paraId="7E8A6FAC" w14:textId="699B5B7B" w:rsidR="00091A37" w:rsidRDefault="00091A37" w:rsidP="006B79D7">
      <w:pPr>
        <w:pStyle w:val="Compact"/>
        <w:jc w:val="both"/>
        <w:rPr>
          <w:rFonts w:ascii="標楷體-繁" w:eastAsia="標楷體-繁" w:hAnsi="標楷體-繁"/>
          <w:color w:val="000000" w:themeColor="text1"/>
        </w:rPr>
      </w:pPr>
    </w:p>
    <w:p w14:paraId="1E97B94C" w14:textId="77777777" w:rsidR="00D30E3C" w:rsidRPr="00D30E3C" w:rsidRDefault="00D30E3C" w:rsidP="00D30E3C">
      <w:pPr>
        <w:pStyle w:val="Compact"/>
        <w:jc w:val="both"/>
        <w:rPr>
          <w:rFonts w:ascii="標楷體-繁" w:eastAsia="標楷體-繁" w:hAnsi="標楷體-繁"/>
          <w:b/>
          <w:bCs/>
          <w:color w:val="000000" w:themeColor="text1"/>
        </w:rPr>
      </w:pPr>
      <w:r w:rsidRPr="007D2679">
        <w:rPr>
          <w:rFonts w:ascii="標楷體-繁" w:eastAsia="標楷體-繁" w:hAnsi="標楷體-繁" w:hint="eastAsia"/>
          <w:b/>
          <w:bCs/>
          <w:color w:val="000000" w:themeColor="text1"/>
          <w:highlight w:val="cyan"/>
        </w:rPr>
        <w:t>1. 風味對成年吸菸者在轉換行為或顯著減少菸草使用方面之潛在益處</w:t>
      </w:r>
    </w:p>
    <w:p w14:paraId="3DAC52E7" w14:textId="77777777" w:rsidR="00D30E3C" w:rsidRPr="00D30E3C" w:rsidRDefault="00D30E3C" w:rsidP="00D30E3C">
      <w:pPr>
        <w:pStyle w:val="Compact"/>
        <w:jc w:val="both"/>
        <w:rPr>
          <w:rFonts w:ascii="標楷體-繁" w:eastAsia="標楷體-繁" w:hAnsi="標楷體-繁"/>
          <w:color w:val="000000" w:themeColor="text1"/>
        </w:rPr>
      </w:pPr>
    </w:p>
    <w:p w14:paraId="081160C8" w14:textId="16F54DE6" w:rsidR="00D30E3C" w:rsidRDefault="00D30E3C" w:rsidP="00D30E3C">
      <w:pPr>
        <w:pStyle w:val="Compact"/>
        <w:jc w:val="both"/>
        <w:rPr>
          <w:rFonts w:ascii="標楷體-繁" w:eastAsia="標楷體-繁" w:hAnsi="標楷體-繁"/>
          <w:color w:val="000000" w:themeColor="text1"/>
        </w:rPr>
      </w:pPr>
      <w:r w:rsidRPr="007D2679">
        <w:rPr>
          <w:rFonts w:ascii="標楷體-繁" w:eastAsia="標楷體-繁" w:hAnsi="標楷體-繁" w:hint="eastAsia"/>
          <w:color w:val="000000" w:themeColor="text1"/>
          <w:highlight w:val="cyan"/>
        </w:rPr>
        <w:t>FDA 認知到，加味 ENDS 產品可能藉由提供可燃式香菸之替代品，並可能增加完全轉換之可能性，從而大幅減少可燃式菸草產品所造成之危害，為成年吸菸者帶來公共衛生利益。</w:t>
      </w:r>
      <w:r w:rsidRPr="00D30E3C">
        <w:rPr>
          <w:rFonts w:ascii="標楷體-繁" w:eastAsia="標楷體-繁" w:hAnsi="標楷體-繁" w:hint="eastAsia"/>
          <w:color w:val="000000" w:themeColor="text1"/>
        </w:rPr>
        <w:t>試圖戒除可燃式香菸之成年吸菸者表示，風味是其決定嘗試 ENDS 產品以及維持完全轉換之重要因素。33 成年人偏好之異質性，凸顯提供多種風味選項之潛在價值，以提高個別成年吸菸者找到符合其需求與偏好產品之可能性。然而，成年人自述偏好之效果仍不確定。近期一項針對成年人的研究發現，所報告之非菸草風味使用偏好，與較長戒菸維持期間並無顯著關聯。34</w:t>
      </w:r>
    </w:p>
    <w:p w14:paraId="103E6A7C" w14:textId="0D0DD0E8" w:rsidR="00D30E3C" w:rsidRDefault="00D30E3C">
      <w:pPr>
        <w:rPr>
          <w:rFonts w:ascii="標楷體-繁" w:eastAsia="標楷體-繁" w:hAnsi="標楷體-繁"/>
          <w:color w:val="000000" w:themeColor="text1"/>
        </w:rPr>
      </w:pPr>
    </w:p>
    <w:p w14:paraId="66141072" w14:textId="59373006" w:rsidR="00D30E3C" w:rsidRDefault="00C47326">
      <w:pPr>
        <w:rPr>
          <w:rFonts w:ascii="標楷體-繁" w:eastAsia="標楷體-繁" w:hAnsi="標楷體-繁"/>
          <w:color w:val="000000" w:themeColor="text1"/>
        </w:rPr>
      </w:pPr>
      <w:r w:rsidRPr="00C47326">
        <w:rPr>
          <w:rFonts w:ascii="標楷體-繁" w:eastAsia="標楷體-繁" w:hAnsi="標楷體-繁" w:hint="eastAsia"/>
          <w:color w:val="000000" w:themeColor="text1"/>
        </w:rPr>
        <w:t>本機關承認，加味 ENDS 產品提供之選項可能符合某些成年吸菸者之偏好；例如，</w:t>
      </w:r>
      <w:r w:rsidRPr="007D2679">
        <w:rPr>
          <w:rFonts w:ascii="標楷體-繁" w:eastAsia="標楷體-繁" w:hAnsi="標楷體-繁" w:hint="eastAsia"/>
          <w:color w:val="000000" w:themeColor="text1"/>
          <w:highlight w:val="cyan"/>
        </w:rPr>
        <w:t>科學文獻支持，薄荷醇味香菸吸菸者相較於菸草味 ENDS，更偏好薄荷醇味 ENDS。因此，FDA 對於某一特定產品可能因增加成年吸菸者可選擇之風味，而提高其轉換至該產品並持續完全戒除可燃式香菸之可能性的證據，持開放態度。</w:t>
      </w:r>
      <w:r w:rsidRPr="00C47326">
        <w:rPr>
          <w:rFonts w:ascii="標楷體-繁" w:eastAsia="標楷體-繁" w:hAnsi="標楷體-繁" w:hint="eastAsia"/>
          <w:color w:val="000000" w:themeColor="text1"/>
        </w:rPr>
        <w:t>35</w:t>
      </w:r>
    </w:p>
    <w:p w14:paraId="6B6D6A5F" w14:textId="77777777" w:rsidR="00C47326" w:rsidRDefault="00C47326" w:rsidP="00D30E3C">
      <w:pPr>
        <w:rPr>
          <w:rFonts w:ascii="標楷體-繁" w:eastAsia="標楷體-繁" w:hAnsi="標楷體-繁"/>
          <w:color w:val="000000" w:themeColor="text1"/>
          <w:sz w:val="21"/>
          <w:szCs w:val="21"/>
        </w:rPr>
      </w:pPr>
    </w:p>
    <w:p w14:paraId="3067FA8C" w14:textId="77777777" w:rsidR="00C47326" w:rsidRDefault="00C47326" w:rsidP="00D30E3C">
      <w:pPr>
        <w:rPr>
          <w:rFonts w:ascii="標楷體-繁" w:eastAsia="標楷體-繁" w:hAnsi="標楷體-繁"/>
          <w:color w:val="000000" w:themeColor="text1"/>
          <w:sz w:val="21"/>
          <w:szCs w:val="21"/>
        </w:rPr>
      </w:pPr>
    </w:p>
    <w:p w14:paraId="4305C1E7" w14:textId="77777777" w:rsidR="00C47326" w:rsidRDefault="00C47326" w:rsidP="00D30E3C">
      <w:pPr>
        <w:rPr>
          <w:rFonts w:ascii="標楷體-繁" w:eastAsia="標楷體-繁" w:hAnsi="標楷體-繁"/>
          <w:color w:val="000000" w:themeColor="text1"/>
          <w:sz w:val="21"/>
          <w:szCs w:val="21"/>
        </w:rPr>
      </w:pPr>
    </w:p>
    <w:p w14:paraId="6635FB16" w14:textId="77777777" w:rsidR="00C47326" w:rsidRDefault="00C47326" w:rsidP="00D30E3C">
      <w:pPr>
        <w:rPr>
          <w:rFonts w:ascii="標楷體-繁" w:eastAsia="標楷體-繁" w:hAnsi="標楷體-繁"/>
          <w:color w:val="000000" w:themeColor="text1"/>
          <w:sz w:val="21"/>
          <w:szCs w:val="21"/>
        </w:rPr>
      </w:pPr>
    </w:p>
    <w:p w14:paraId="360557DF" w14:textId="77777777" w:rsidR="00C47326" w:rsidRDefault="00C47326" w:rsidP="00D30E3C">
      <w:pPr>
        <w:rPr>
          <w:rFonts w:ascii="標楷體-繁" w:eastAsia="標楷體-繁" w:hAnsi="標楷體-繁"/>
          <w:color w:val="000000" w:themeColor="text1"/>
          <w:sz w:val="21"/>
          <w:szCs w:val="21"/>
        </w:rPr>
      </w:pPr>
    </w:p>
    <w:p w14:paraId="19D48A29" w14:textId="77777777" w:rsidR="00C47326" w:rsidRDefault="00C47326" w:rsidP="00D30E3C">
      <w:pPr>
        <w:rPr>
          <w:rFonts w:ascii="標楷體-繁" w:eastAsia="標楷體-繁" w:hAnsi="標楷體-繁"/>
          <w:color w:val="000000" w:themeColor="text1"/>
          <w:sz w:val="21"/>
          <w:szCs w:val="21"/>
        </w:rPr>
      </w:pPr>
    </w:p>
    <w:p w14:paraId="656F788D" w14:textId="77777777" w:rsidR="00C47326" w:rsidRDefault="00C47326" w:rsidP="00D30E3C">
      <w:pPr>
        <w:rPr>
          <w:rFonts w:ascii="標楷體-繁" w:eastAsia="標楷體-繁" w:hAnsi="標楷體-繁"/>
          <w:color w:val="000000" w:themeColor="text1"/>
          <w:sz w:val="21"/>
          <w:szCs w:val="21"/>
        </w:rPr>
      </w:pPr>
    </w:p>
    <w:p w14:paraId="037A8F84" w14:textId="0070AC04" w:rsidR="00D30E3C" w:rsidRPr="00C47326" w:rsidRDefault="00D30E3C" w:rsidP="00D30E3C">
      <w:pPr>
        <w:rPr>
          <w:rFonts w:ascii="標楷體-繁" w:eastAsia="標楷體-繁" w:hAnsi="標楷體-繁"/>
          <w:color w:val="000000" w:themeColor="text1"/>
          <w:sz w:val="21"/>
          <w:szCs w:val="21"/>
        </w:rPr>
      </w:pPr>
      <w:r w:rsidRPr="00C47326">
        <w:rPr>
          <w:rFonts w:ascii="標楷體-繁" w:eastAsia="標楷體-繁" w:hAnsi="標楷體-繁" w:hint="eastAsia"/>
          <w:color w:val="000000" w:themeColor="text1"/>
          <w:sz w:val="21"/>
          <w:szCs w:val="21"/>
        </w:rPr>
        <w:t>33 Evans, A. T., Henderson, K. C, et al. What Motivates Smokers to Switch to ENDS? A Qualitative Study of Perceptions and Use. Int. J. Environ. Res. Public Health 17, no. 23 (2020): 8865. 網址：https://doi.org/10.3390/ijerph17238865。</w:t>
      </w:r>
    </w:p>
    <w:p w14:paraId="17591E93" w14:textId="32882C55" w:rsidR="00C47326" w:rsidRPr="00C47326" w:rsidRDefault="00D30E3C" w:rsidP="00D30E3C">
      <w:pPr>
        <w:rPr>
          <w:rFonts w:ascii="標楷體-繁" w:eastAsia="標楷體-繁" w:hAnsi="標楷體-繁"/>
          <w:color w:val="000000" w:themeColor="text1"/>
          <w:sz w:val="21"/>
          <w:szCs w:val="21"/>
        </w:rPr>
      </w:pPr>
      <w:r w:rsidRPr="00C47326">
        <w:rPr>
          <w:rFonts w:ascii="標楷體-繁" w:eastAsia="標楷體-繁" w:hAnsi="標楷體-繁"/>
          <w:color w:val="000000" w:themeColor="text1"/>
          <w:sz w:val="21"/>
          <w:szCs w:val="21"/>
        </w:rPr>
        <w:t xml:space="preserve">34 Bold, K., S. O'Malley, S. Krishnan-Sarin, and M. </w:t>
      </w:r>
      <w:proofErr w:type="spellStart"/>
      <w:r w:rsidRPr="00C47326">
        <w:rPr>
          <w:rFonts w:ascii="標楷體-繁" w:eastAsia="標楷體-繁" w:hAnsi="標楷體-繁"/>
          <w:color w:val="000000" w:themeColor="text1"/>
          <w:sz w:val="21"/>
          <w:szCs w:val="21"/>
        </w:rPr>
        <w:t>Morean</w:t>
      </w:r>
      <w:proofErr w:type="spellEnd"/>
      <w:r w:rsidRPr="00C47326">
        <w:rPr>
          <w:rFonts w:ascii="標楷體-繁" w:eastAsia="標楷體-繁" w:hAnsi="標楷體-繁"/>
          <w:color w:val="000000" w:themeColor="text1"/>
          <w:sz w:val="21"/>
          <w:szCs w:val="21"/>
        </w:rPr>
        <w:t xml:space="preserve">. "E-Cigarette Use Patterns, Flavors, and Device Characteristics Associated </w:t>
      </w:r>
      <w:proofErr w:type="gramStart"/>
      <w:r w:rsidRPr="00C47326">
        <w:rPr>
          <w:rFonts w:ascii="標楷體-繁" w:eastAsia="標楷體-繁" w:hAnsi="標楷體-繁"/>
          <w:color w:val="000000" w:themeColor="text1"/>
          <w:sz w:val="21"/>
          <w:szCs w:val="21"/>
        </w:rPr>
        <w:t>With</w:t>
      </w:r>
      <w:proofErr w:type="gramEnd"/>
      <w:r w:rsidRPr="00C47326">
        <w:rPr>
          <w:rFonts w:ascii="標楷體-繁" w:eastAsia="標楷體-繁" w:hAnsi="標楷體-繁"/>
          <w:color w:val="000000" w:themeColor="text1"/>
          <w:sz w:val="21"/>
          <w:szCs w:val="21"/>
        </w:rPr>
        <w:t xml:space="preserve"> Quitting Smoking Among a U.S. Sample of Adults Using E-Cigarettes in a Smoking Cessation Attempt." Nicotine &amp; Tobacco</w:t>
      </w:r>
      <w:r w:rsidRPr="00C47326">
        <w:rPr>
          <w:rFonts w:ascii="標楷體-繁" w:eastAsia="標楷體-繁" w:hAnsi="標楷體-繁" w:hint="eastAsia"/>
          <w:color w:val="000000" w:themeColor="text1"/>
          <w:sz w:val="21"/>
          <w:szCs w:val="21"/>
        </w:rPr>
        <w:t xml:space="preserve"> Research 25, no. 5 (2023): 954–961. 網址：</w:t>
      </w:r>
      <w:r w:rsidR="00C47326" w:rsidRPr="00C47326">
        <w:rPr>
          <w:rFonts w:ascii="標楷體-繁" w:eastAsia="標楷體-繁" w:hAnsi="標楷體-繁"/>
          <w:color w:val="000000" w:themeColor="text1"/>
          <w:sz w:val="21"/>
          <w:szCs w:val="21"/>
        </w:rPr>
        <w:fldChar w:fldCharType="begin"/>
      </w:r>
      <w:r w:rsidR="00C47326" w:rsidRPr="00C47326">
        <w:rPr>
          <w:rFonts w:ascii="標楷體-繁" w:eastAsia="標楷體-繁" w:hAnsi="標楷體-繁"/>
          <w:color w:val="000000" w:themeColor="text1"/>
          <w:sz w:val="21"/>
          <w:szCs w:val="21"/>
        </w:rPr>
        <w:instrText xml:space="preserve"> </w:instrText>
      </w:r>
      <w:r w:rsidR="00C47326" w:rsidRPr="00C47326">
        <w:rPr>
          <w:rFonts w:ascii="標楷體-繁" w:eastAsia="標楷體-繁" w:hAnsi="標楷體-繁" w:hint="eastAsia"/>
          <w:color w:val="000000" w:themeColor="text1"/>
          <w:sz w:val="21"/>
          <w:szCs w:val="21"/>
        </w:rPr>
        <w:instrText>HYPERLINK "https://doi.org/10.1093/ntr/ntac276"</w:instrText>
      </w:r>
      <w:r w:rsidR="00C47326" w:rsidRPr="00C47326">
        <w:rPr>
          <w:rFonts w:ascii="標楷體-繁" w:eastAsia="標楷體-繁" w:hAnsi="標楷體-繁"/>
          <w:color w:val="000000" w:themeColor="text1"/>
          <w:sz w:val="21"/>
          <w:szCs w:val="21"/>
        </w:rPr>
        <w:instrText xml:space="preserve"> </w:instrText>
      </w:r>
      <w:r w:rsidR="00C47326" w:rsidRPr="00C47326">
        <w:rPr>
          <w:rFonts w:ascii="標楷體-繁" w:eastAsia="標楷體-繁" w:hAnsi="標楷體-繁"/>
          <w:color w:val="000000" w:themeColor="text1"/>
          <w:sz w:val="21"/>
          <w:szCs w:val="21"/>
        </w:rPr>
        <w:fldChar w:fldCharType="separate"/>
      </w:r>
      <w:r w:rsidR="00C47326" w:rsidRPr="00C47326">
        <w:rPr>
          <w:rStyle w:val="af"/>
          <w:rFonts w:ascii="標楷體-繁" w:eastAsia="標楷體-繁" w:hAnsi="標楷體-繁" w:hint="eastAsia"/>
          <w:sz w:val="21"/>
          <w:szCs w:val="21"/>
        </w:rPr>
        <w:t>https://doi.org/10.1093/ntr/ntac276</w:t>
      </w:r>
      <w:r w:rsidR="00C47326" w:rsidRPr="00C47326">
        <w:rPr>
          <w:rFonts w:ascii="標楷體-繁" w:eastAsia="標楷體-繁" w:hAnsi="標楷體-繁"/>
          <w:color w:val="000000" w:themeColor="text1"/>
          <w:sz w:val="21"/>
          <w:szCs w:val="21"/>
        </w:rPr>
        <w:fldChar w:fldCharType="end"/>
      </w:r>
      <w:r w:rsidRPr="00C47326">
        <w:rPr>
          <w:rFonts w:ascii="標楷體-繁" w:eastAsia="標楷體-繁" w:hAnsi="標楷體-繁" w:hint="eastAsia"/>
          <w:color w:val="000000" w:themeColor="text1"/>
          <w:sz w:val="21"/>
          <w:szCs w:val="21"/>
        </w:rPr>
        <w:t>。</w:t>
      </w:r>
    </w:p>
    <w:p w14:paraId="22A7D9C7" w14:textId="0CE2650E" w:rsidR="00091A37" w:rsidRDefault="00C47326" w:rsidP="00D30E3C">
      <w:pPr>
        <w:rPr>
          <w:rFonts w:ascii="標楷體-繁" w:eastAsia="標楷體-繁" w:hAnsi="標楷體-繁"/>
          <w:color w:val="000000" w:themeColor="text1"/>
        </w:rPr>
      </w:pPr>
      <w:r w:rsidRPr="00C47326">
        <w:rPr>
          <w:rFonts w:ascii="標楷體-繁" w:eastAsia="標楷體-繁" w:hAnsi="標楷體-繁"/>
          <w:color w:val="000000" w:themeColor="text1"/>
          <w:sz w:val="21"/>
          <w:szCs w:val="21"/>
        </w:rPr>
        <w:t xml:space="preserve">35 Joseph M, </w:t>
      </w:r>
      <w:proofErr w:type="spellStart"/>
      <w:r w:rsidRPr="00C47326">
        <w:rPr>
          <w:rFonts w:ascii="標楷體-繁" w:eastAsia="標楷體-繁" w:hAnsi="標楷體-繁"/>
          <w:color w:val="000000" w:themeColor="text1"/>
          <w:sz w:val="21"/>
          <w:szCs w:val="21"/>
        </w:rPr>
        <w:t>Morean</w:t>
      </w:r>
      <w:proofErr w:type="spellEnd"/>
      <w:r w:rsidRPr="00C47326">
        <w:rPr>
          <w:rFonts w:ascii="標楷體-繁" w:eastAsia="標楷體-繁" w:hAnsi="標楷體-繁"/>
          <w:color w:val="000000" w:themeColor="text1"/>
          <w:sz w:val="21"/>
          <w:szCs w:val="21"/>
        </w:rPr>
        <w:t xml:space="preserve"> ME, Wu R, Krishnan-Sarin S, O'Malley SS, Bold KW. Examining E-cigarette Flavor Use and Preference by Menthol Cigarette Status and Quit Duration Among U.S. Adults Using E-cigarettes in a Smoking Cessation Attempt. Nicotine &amp; Tobacco Rese</w:t>
      </w:r>
      <w:r w:rsidRPr="00C47326">
        <w:rPr>
          <w:rFonts w:ascii="標楷體-繁" w:eastAsia="標楷體-繁" w:hAnsi="標楷體-繁" w:hint="eastAsia"/>
          <w:color w:val="000000" w:themeColor="text1"/>
          <w:sz w:val="21"/>
          <w:szCs w:val="21"/>
        </w:rPr>
        <w:t>arch 27. No. 9 (2025) 1657-1661. 網址：https://doi.org/10.1093/ntr/ntaf059。</w:t>
      </w:r>
      <w:r w:rsidR="00091A37">
        <w:rPr>
          <w:rFonts w:ascii="標楷體-繁" w:eastAsia="標楷體-繁" w:hAnsi="標楷體-繁"/>
          <w:color w:val="000000" w:themeColor="text1"/>
        </w:rPr>
        <w:br w:type="page"/>
      </w:r>
    </w:p>
    <w:p w14:paraId="264B3E8D" w14:textId="04EE9E64" w:rsidR="00C47326" w:rsidRPr="00C47326" w:rsidRDefault="00C47326" w:rsidP="00C47326">
      <w:pPr>
        <w:pStyle w:val="Compact"/>
        <w:jc w:val="center"/>
        <w:rPr>
          <w:rFonts w:ascii="標楷體-繁" w:eastAsia="標楷體-繁" w:hAnsi="標楷體-繁"/>
          <w:b/>
          <w:bCs/>
          <w:color w:val="000000" w:themeColor="text1"/>
        </w:rPr>
      </w:pPr>
      <w:r w:rsidRPr="00C47326">
        <w:rPr>
          <w:rFonts w:ascii="標楷體-繁" w:eastAsia="標楷體-繁" w:hAnsi="標楷體-繁" w:hint="eastAsia"/>
          <w:b/>
          <w:bCs/>
          <w:color w:val="000000" w:themeColor="text1"/>
        </w:rPr>
        <w:lastRenderedPageBreak/>
        <w:t>含非約束性建議</w:t>
      </w:r>
    </w:p>
    <w:p w14:paraId="2FAB7945" w14:textId="77777777" w:rsidR="00C47326" w:rsidRPr="00C47326" w:rsidRDefault="00C47326" w:rsidP="00C47326">
      <w:pPr>
        <w:pStyle w:val="Compact"/>
        <w:jc w:val="both"/>
        <w:rPr>
          <w:rFonts w:ascii="標楷體-繁" w:eastAsia="標楷體-繁" w:hAnsi="標楷體-繁"/>
          <w:color w:val="000000" w:themeColor="text1"/>
        </w:rPr>
      </w:pPr>
    </w:p>
    <w:p w14:paraId="1E23336E" w14:textId="77777777" w:rsidR="00C47326" w:rsidRDefault="00C47326" w:rsidP="00C47326">
      <w:pPr>
        <w:pStyle w:val="Compact"/>
        <w:jc w:val="both"/>
        <w:rPr>
          <w:rFonts w:ascii="標楷體-繁" w:eastAsia="標楷體-繁" w:hAnsi="標楷體-繁"/>
          <w:color w:val="000000" w:themeColor="text1"/>
        </w:rPr>
      </w:pPr>
      <w:r w:rsidRPr="00C47326">
        <w:rPr>
          <w:rFonts w:ascii="標楷體-繁" w:eastAsia="標楷體-繁" w:hAnsi="標楷體-繁" w:hint="eastAsia"/>
          <w:color w:val="000000" w:themeColor="text1"/>
        </w:rPr>
        <w:t>對於某些 ENDS 風味，可能存在可靠之科學證據顯示其相較於對青少年更具吸引力之風味（如水果及糖果／甜點／其他甜味產品）而言，對青少年之吸引力與使用較低，例如薄荷醇、薄荷及新型風味（例如香辛料）。36</w:t>
      </w:r>
    </w:p>
    <w:p w14:paraId="71985825" w14:textId="77777777" w:rsidR="00C47326" w:rsidRDefault="00C47326" w:rsidP="00C47326">
      <w:pPr>
        <w:pStyle w:val="Compact"/>
        <w:jc w:val="both"/>
        <w:rPr>
          <w:rFonts w:ascii="標楷體-繁" w:eastAsia="標楷體-繁" w:hAnsi="標楷體-繁"/>
          <w:color w:val="000000" w:themeColor="text1"/>
        </w:rPr>
      </w:pPr>
    </w:p>
    <w:p w14:paraId="02037E6D" w14:textId="74F18C18" w:rsidR="00C47326" w:rsidRDefault="00C47326" w:rsidP="00C47326">
      <w:pPr>
        <w:pStyle w:val="Compact"/>
        <w:jc w:val="both"/>
        <w:rPr>
          <w:rFonts w:ascii="標楷體-繁" w:eastAsia="標楷體-繁" w:hAnsi="標楷體-繁"/>
          <w:color w:val="000000" w:themeColor="text1"/>
        </w:rPr>
      </w:pPr>
      <w:r w:rsidRPr="00C47326">
        <w:rPr>
          <w:rFonts w:ascii="標楷體-繁" w:eastAsia="標楷體-繁" w:hAnsi="標楷體-繁" w:hint="eastAsia"/>
          <w:color w:val="000000" w:themeColor="text1"/>
        </w:rPr>
        <w:t>與 FDA 以風險為基礎、用以評估產品上市是否符合 APPH 標準之方法一致，為證明足夠之成年人利益所需之證據程度，可能因產品風味特徵所造成之青少年風險相對大小而有所不同。例如，可得證據顯示，薄荷醇味 ENDS 相較於水果味或糖果味產品，可能呈現實質不同之青少年吸引力與使用概況。2024 年，青少年最常使用之 ENDS 風味類型為水果（62.8%），其次為糖果、甜點及其他甜味（33.3%）。薄荷醇與菸草則較低，分別為 15.1% 及 8.5%。37</w:t>
      </w:r>
    </w:p>
    <w:p w14:paraId="0352A01B" w14:textId="77777777" w:rsidR="00C47326" w:rsidRDefault="00C47326" w:rsidP="00C47326">
      <w:pPr>
        <w:pStyle w:val="Compact"/>
        <w:jc w:val="both"/>
        <w:rPr>
          <w:rFonts w:ascii="標楷體-繁" w:eastAsia="標楷體-繁" w:hAnsi="標楷體-繁"/>
          <w:color w:val="000000" w:themeColor="text1"/>
        </w:rPr>
      </w:pPr>
    </w:p>
    <w:p w14:paraId="6DECA6A0" w14:textId="7C7A8524" w:rsidR="00C47326" w:rsidRPr="00C47326" w:rsidRDefault="00C47326" w:rsidP="00C47326">
      <w:pPr>
        <w:pStyle w:val="Compact"/>
        <w:jc w:val="both"/>
        <w:rPr>
          <w:rFonts w:ascii="標楷體-繁" w:eastAsia="標楷體-繁" w:hAnsi="標楷體-繁"/>
          <w:color w:val="000000" w:themeColor="text1"/>
        </w:rPr>
      </w:pPr>
      <w:r w:rsidRPr="00C47326">
        <w:rPr>
          <w:rFonts w:ascii="標楷體-繁" w:eastAsia="標楷體-繁" w:hAnsi="標楷體-繁" w:hint="eastAsia"/>
          <w:color w:val="000000" w:themeColor="text1"/>
        </w:rPr>
        <w:t>2022 年，FDA 在裁決某一薄荷醇味 ENDS 申請時認定，申請人應提供與其他加味 ENDS 產品相同類型之強健研究，以證明相較於菸草味 ENDS 具有額外成年人利益。此方法維持不變；本指引聚焦於 FDA 審查中的下一步，亦即，必須建立何種利益程度，方能證明薄荷醇或其他加味 ENDS 符合 APPH。青少年電子煙使用者對薄荷醇味 ENDS 的使用自 2022 年以來已顯著下降（依 2024 年 NYTS 資料，從 26.6% 降至 15.1%）。38 與本指引之分級方法一致，</w:t>
      </w:r>
      <w:r w:rsidRPr="007D2679">
        <w:rPr>
          <w:rFonts w:ascii="標楷體-繁" w:eastAsia="標楷體-繁" w:hAnsi="標楷體-繁" w:hint="eastAsia"/>
          <w:color w:val="000000" w:themeColor="text1"/>
          <w:highlight w:val="cyan"/>
        </w:rPr>
        <w:t>薄荷醇味 ENDS 產品之申請，即使其相較於菸草味產品提供之額外利益相對較小，亦可能有能力證明符合 APPH。</w:t>
      </w:r>
    </w:p>
    <w:p w14:paraId="68A943A4" w14:textId="77777777" w:rsidR="00C47326" w:rsidRDefault="00C47326" w:rsidP="00C47326">
      <w:pPr>
        <w:pStyle w:val="Compact"/>
        <w:rPr>
          <w:rFonts w:ascii="標楷體-繁" w:eastAsia="標楷體-繁" w:hAnsi="標楷體-繁"/>
          <w:color w:val="000000" w:themeColor="text1"/>
        </w:rPr>
      </w:pPr>
    </w:p>
    <w:p w14:paraId="0BB8F9FA" w14:textId="77777777" w:rsidR="00C47326" w:rsidRDefault="00C47326" w:rsidP="00C47326">
      <w:pPr>
        <w:pStyle w:val="Compact"/>
        <w:rPr>
          <w:rFonts w:ascii="標楷體-繁" w:eastAsia="標楷體-繁" w:hAnsi="標楷體-繁"/>
          <w:color w:val="000000" w:themeColor="text1"/>
          <w:sz w:val="21"/>
          <w:szCs w:val="21"/>
        </w:rPr>
      </w:pPr>
    </w:p>
    <w:p w14:paraId="79D495D2" w14:textId="77777777" w:rsidR="00C47326" w:rsidRDefault="00C47326" w:rsidP="00C47326">
      <w:pPr>
        <w:pStyle w:val="Compact"/>
        <w:rPr>
          <w:rFonts w:ascii="標楷體-繁" w:eastAsia="標楷體-繁" w:hAnsi="標楷體-繁"/>
          <w:color w:val="000000" w:themeColor="text1"/>
          <w:sz w:val="21"/>
          <w:szCs w:val="21"/>
        </w:rPr>
      </w:pPr>
    </w:p>
    <w:p w14:paraId="58B3ABF0" w14:textId="77777777" w:rsidR="00C47326" w:rsidRDefault="00C47326" w:rsidP="00C47326">
      <w:pPr>
        <w:pStyle w:val="Compact"/>
        <w:rPr>
          <w:rFonts w:ascii="標楷體-繁" w:eastAsia="標楷體-繁" w:hAnsi="標楷體-繁"/>
          <w:color w:val="000000" w:themeColor="text1"/>
          <w:sz w:val="21"/>
          <w:szCs w:val="21"/>
        </w:rPr>
      </w:pPr>
    </w:p>
    <w:p w14:paraId="197F1576" w14:textId="77777777" w:rsidR="00C47326" w:rsidRDefault="00C47326" w:rsidP="00C47326">
      <w:pPr>
        <w:pStyle w:val="Compact"/>
        <w:rPr>
          <w:rFonts w:ascii="標楷體-繁" w:eastAsia="標楷體-繁" w:hAnsi="標楷體-繁"/>
          <w:color w:val="000000" w:themeColor="text1"/>
          <w:sz w:val="21"/>
          <w:szCs w:val="21"/>
        </w:rPr>
      </w:pPr>
    </w:p>
    <w:p w14:paraId="7A03981F" w14:textId="77777777" w:rsidR="00C47326" w:rsidRDefault="00C47326" w:rsidP="00C47326">
      <w:pPr>
        <w:pStyle w:val="Compact"/>
        <w:rPr>
          <w:rFonts w:ascii="標楷體-繁" w:eastAsia="標楷體-繁" w:hAnsi="標楷體-繁"/>
          <w:color w:val="000000" w:themeColor="text1"/>
          <w:sz w:val="21"/>
          <w:szCs w:val="21"/>
        </w:rPr>
      </w:pPr>
    </w:p>
    <w:p w14:paraId="68864D34" w14:textId="77777777" w:rsidR="00C47326" w:rsidRDefault="00C47326" w:rsidP="00C47326">
      <w:pPr>
        <w:pStyle w:val="Compact"/>
        <w:rPr>
          <w:rFonts w:ascii="標楷體-繁" w:eastAsia="標楷體-繁" w:hAnsi="標楷體-繁"/>
          <w:color w:val="000000" w:themeColor="text1"/>
          <w:sz w:val="21"/>
          <w:szCs w:val="21"/>
        </w:rPr>
      </w:pPr>
    </w:p>
    <w:p w14:paraId="2FE102DD" w14:textId="77777777" w:rsidR="00C47326" w:rsidRDefault="00C47326" w:rsidP="00C47326">
      <w:pPr>
        <w:pStyle w:val="Compact"/>
        <w:rPr>
          <w:rFonts w:ascii="標楷體-繁" w:eastAsia="標楷體-繁" w:hAnsi="標楷體-繁"/>
          <w:color w:val="000000" w:themeColor="text1"/>
          <w:sz w:val="21"/>
          <w:szCs w:val="21"/>
        </w:rPr>
      </w:pPr>
    </w:p>
    <w:p w14:paraId="7D978DE3" w14:textId="77777777" w:rsidR="00C47326" w:rsidRDefault="00C47326" w:rsidP="00C47326">
      <w:pPr>
        <w:pStyle w:val="Compact"/>
        <w:rPr>
          <w:rFonts w:ascii="標楷體-繁" w:eastAsia="標楷體-繁" w:hAnsi="標楷體-繁"/>
          <w:color w:val="000000" w:themeColor="text1"/>
          <w:sz w:val="21"/>
          <w:szCs w:val="21"/>
        </w:rPr>
      </w:pPr>
    </w:p>
    <w:p w14:paraId="1129F4D6" w14:textId="3A2B4888" w:rsidR="00C47326" w:rsidRPr="00C47326" w:rsidRDefault="00C47326" w:rsidP="00C47326">
      <w:pPr>
        <w:pStyle w:val="Compact"/>
        <w:rPr>
          <w:rFonts w:ascii="標楷體-繁" w:eastAsia="標楷體-繁" w:hAnsi="標楷體-繁"/>
          <w:color w:val="000000" w:themeColor="text1"/>
          <w:sz w:val="21"/>
          <w:szCs w:val="21"/>
        </w:rPr>
      </w:pPr>
      <w:r w:rsidRPr="00C47326">
        <w:rPr>
          <w:rFonts w:ascii="標楷體-繁" w:eastAsia="標楷體-繁" w:hAnsi="標楷體-繁" w:hint="eastAsia"/>
          <w:color w:val="000000" w:themeColor="text1"/>
          <w:sz w:val="21"/>
          <w:szCs w:val="21"/>
        </w:rPr>
        <w:t>36</w:t>
      </w:r>
      <w:r w:rsidRPr="00C47326">
        <w:rPr>
          <w:rFonts w:ascii="標楷體-繁" w:eastAsia="標楷體-繁" w:hAnsi="標楷體-繁"/>
          <w:color w:val="000000" w:themeColor="text1"/>
          <w:sz w:val="21"/>
          <w:szCs w:val="21"/>
        </w:rPr>
        <w:t xml:space="preserve"> </w:t>
      </w:r>
      <w:r w:rsidRPr="00C47326">
        <w:rPr>
          <w:rFonts w:ascii="標楷體-繁" w:eastAsia="標楷體-繁" w:hAnsi="標楷體-繁" w:hint="eastAsia"/>
          <w:color w:val="000000" w:themeColor="text1"/>
          <w:sz w:val="21"/>
          <w:szCs w:val="21"/>
        </w:rPr>
        <w:t>Park-Lee, E., A. Jamal, H. Cowan, et al. "Notes from the Field: E-Cigarette and Nicotine Pouch Use Among Middle and High School Students—United States, 2024." Morbidity and Mortality Weekly Report 73 (2024): 774–778. 網址：https://doi.org/10.15585/mmwr.mm7335a3；FDA指出，2024 年有 6.4% 的目前使用電子煙之青少年表示使用 ENDS 產品中的香辛料風味。</w:t>
      </w:r>
    </w:p>
    <w:p w14:paraId="27F7DAC2" w14:textId="77777777" w:rsidR="00C47326" w:rsidRPr="00C47326" w:rsidRDefault="00C47326" w:rsidP="00C47326">
      <w:pPr>
        <w:pStyle w:val="Compact"/>
        <w:rPr>
          <w:rFonts w:ascii="標楷體-繁" w:eastAsia="標楷體-繁" w:hAnsi="標楷體-繁"/>
          <w:color w:val="000000" w:themeColor="text1"/>
          <w:sz w:val="21"/>
          <w:szCs w:val="21"/>
        </w:rPr>
      </w:pPr>
      <w:r w:rsidRPr="00C47326">
        <w:rPr>
          <w:rFonts w:ascii="標楷體-繁" w:eastAsia="標楷體-繁" w:hAnsi="標楷體-繁" w:hint="eastAsia"/>
          <w:color w:val="000000" w:themeColor="text1"/>
          <w:sz w:val="21"/>
          <w:szCs w:val="21"/>
        </w:rPr>
        <w:t>37 同上。</w:t>
      </w:r>
    </w:p>
    <w:p w14:paraId="47244D1E" w14:textId="29D8D754" w:rsidR="00091A37" w:rsidRDefault="00C47326" w:rsidP="00C47326">
      <w:pPr>
        <w:pStyle w:val="Compact"/>
        <w:rPr>
          <w:rFonts w:ascii="標楷體-繁" w:eastAsia="標楷體-繁" w:hAnsi="標楷體-繁"/>
          <w:color w:val="000000" w:themeColor="text1"/>
        </w:rPr>
      </w:pPr>
      <w:r w:rsidRPr="00C47326">
        <w:rPr>
          <w:rFonts w:ascii="標楷體-繁" w:eastAsia="標楷體-繁" w:hAnsi="標楷體-繁" w:hint="eastAsia"/>
          <w:color w:val="000000" w:themeColor="text1"/>
          <w:sz w:val="21"/>
          <w:szCs w:val="21"/>
        </w:rPr>
        <w:t>38 Cooper, M., E. Park-Lee, C. Ren, et al. "Notes from the Field: E-Cigarette Use Among Middle and High School Students - United States, 2022." Morbidity and Mortality Weekly Report 71, no. 40 (2022): 1283–1285. 網址：https://doi.org/10.15585/mmwr.mm7140a3；Pa</w:t>
      </w:r>
      <w:r w:rsidRPr="00C47326">
        <w:rPr>
          <w:rFonts w:ascii="標楷體-繁" w:eastAsia="標楷體-繁" w:hAnsi="標楷體-繁"/>
          <w:color w:val="000000" w:themeColor="text1"/>
          <w:sz w:val="21"/>
          <w:szCs w:val="21"/>
        </w:rPr>
        <w:t>rk-Lee</w:t>
      </w:r>
      <w:r w:rsidRPr="00C47326">
        <w:rPr>
          <w:rFonts w:ascii="標楷體-繁" w:eastAsia="標楷體-繁" w:hAnsi="標楷體-繁" w:hint="eastAsia"/>
          <w:color w:val="000000" w:themeColor="text1"/>
          <w:sz w:val="21"/>
          <w:szCs w:val="21"/>
        </w:rPr>
        <w:t>, E., A. Jamal, H. Cowan, et al. "Notes from the Field: E-Cigarette and Nicotine Pouch Use Among Middle and High School Students—United States, 2024." Morbidity and Mortality Weekly Report 73 (2024): 774–778. 網址：https://doi.org/10.15585/mmwr.mm7335a3。</w:t>
      </w:r>
      <w:r w:rsidR="00091A37">
        <w:rPr>
          <w:rFonts w:ascii="標楷體-繁" w:eastAsia="標楷體-繁" w:hAnsi="標楷體-繁"/>
          <w:color w:val="000000" w:themeColor="text1"/>
        </w:rPr>
        <w:br w:type="page"/>
      </w:r>
    </w:p>
    <w:p w14:paraId="06A087AF" w14:textId="77777777" w:rsidR="00C47326" w:rsidRPr="00C47326" w:rsidRDefault="00C47326" w:rsidP="00C47326">
      <w:pPr>
        <w:pStyle w:val="Compact"/>
        <w:jc w:val="center"/>
        <w:rPr>
          <w:rFonts w:ascii="標楷體-繁" w:eastAsia="標楷體-繁" w:hAnsi="標楷體-繁"/>
          <w:b/>
          <w:bCs/>
          <w:color w:val="000000" w:themeColor="text1"/>
        </w:rPr>
      </w:pPr>
      <w:r w:rsidRPr="00C47326">
        <w:rPr>
          <w:rFonts w:ascii="標楷體-繁" w:eastAsia="標楷體-繁" w:hAnsi="標楷體-繁" w:hint="eastAsia"/>
          <w:b/>
          <w:bCs/>
          <w:color w:val="000000" w:themeColor="text1"/>
        </w:rPr>
        <w:lastRenderedPageBreak/>
        <w:t>含非約束性建議</w:t>
      </w:r>
    </w:p>
    <w:p w14:paraId="526FDCB1" w14:textId="219BC478" w:rsidR="00091A37" w:rsidRDefault="00091A37" w:rsidP="006B79D7">
      <w:pPr>
        <w:pStyle w:val="Compact"/>
        <w:jc w:val="both"/>
        <w:rPr>
          <w:rFonts w:ascii="標楷體-繁" w:eastAsia="標楷體-繁" w:hAnsi="標楷體-繁"/>
          <w:color w:val="000000" w:themeColor="text1"/>
        </w:rPr>
      </w:pPr>
    </w:p>
    <w:p w14:paraId="2F4AC4F3" w14:textId="7BEC6A44" w:rsidR="00C47326" w:rsidRPr="00C47326" w:rsidRDefault="00C47326" w:rsidP="00C47326">
      <w:pPr>
        <w:rPr>
          <w:rFonts w:ascii="標楷體-繁" w:eastAsia="標楷體-繁" w:hAnsi="標楷體-繁"/>
          <w:color w:val="000000" w:themeColor="text1"/>
        </w:rPr>
      </w:pPr>
      <w:r w:rsidRPr="00EA58B4">
        <w:rPr>
          <w:rFonts w:ascii="標楷體-繁" w:eastAsia="標楷體-繁" w:hAnsi="標楷體-繁" w:hint="eastAsia"/>
          <w:color w:val="000000" w:themeColor="text1"/>
          <w:highlight w:val="cyan"/>
        </w:rPr>
        <w:t>FDA 已就薄荷醇味 ENDS 產品核發上市核准命令（marketing granted orders, MGOs），前提是申請人證明該等產品之上市符合 APPH 標準。因此，已有先例顯示，只要有充分科學證據支持，薄荷醇味 ENDS 可以符合 APPH 標準。若整體證據顯示，相較於對青少年更具吸引力之風味，某一風味之青少年起始使用風險相對較低，FDA 可能考量相對較低幅度之增量成年人利益，即足以支持 APPH 判定。</w:t>
      </w:r>
      <w:r w:rsidRPr="00C47326">
        <w:rPr>
          <w:rFonts w:ascii="標楷體-繁" w:eastAsia="標楷體-繁" w:hAnsi="標楷體-繁" w:hint="eastAsia"/>
          <w:color w:val="000000" w:themeColor="text1"/>
        </w:rPr>
        <w:t>然而，申請人仍保有舉證責任，必須依全部有效科學證據之整體性，證明該產品之上市將符合 APPH。</w:t>
      </w:r>
    </w:p>
    <w:p w14:paraId="5CCD24B0" w14:textId="37B5AE43" w:rsidR="00C47326" w:rsidRPr="00C47326" w:rsidRDefault="00C47326" w:rsidP="00C47326">
      <w:pPr>
        <w:rPr>
          <w:rFonts w:ascii="標楷體-繁" w:eastAsia="標楷體-繁" w:hAnsi="標楷體-繁"/>
          <w:b/>
          <w:bCs/>
          <w:color w:val="000000" w:themeColor="text1"/>
        </w:rPr>
      </w:pPr>
      <w:r w:rsidRPr="00C47326">
        <w:rPr>
          <w:rFonts w:ascii="標楷體-繁" w:eastAsia="標楷體-繁" w:hAnsi="標楷體-繁" w:hint="eastAsia"/>
          <w:b/>
          <w:bCs/>
          <w:color w:val="000000" w:themeColor="text1"/>
        </w:rPr>
        <w:t>2. 評估加味 ENDS 青少年吸引力之潛在研究方法</w:t>
      </w:r>
    </w:p>
    <w:p w14:paraId="2FFEDD6E" w14:textId="77777777" w:rsidR="00C47326" w:rsidRDefault="00C47326" w:rsidP="00C47326">
      <w:pPr>
        <w:rPr>
          <w:rFonts w:ascii="標楷體-繁" w:eastAsia="標楷體-繁" w:hAnsi="標楷體-繁"/>
          <w:color w:val="000000" w:themeColor="text1"/>
        </w:rPr>
      </w:pPr>
      <w:r w:rsidRPr="00C47326">
        <w:rPr>
          <w:rFonts w:ascii="標楷體-繁" w:eastAsia="標楷體-繁" w:hAnsi="標楷體-繁" w:hint="eastAsia"/>
          <w:color w:val="000000" w:themeColor="text1"/>
        </w:rPr>
        <w:t>FDA 建議申請人視適當情況，提供具科學效度之證據，以描述其擬議加味 ENDS 在青少年、年輕成年人及成年人中的相對吸引力。39 本機關有意考量有關適當方法學之意見與新興資料，並可能於適當時發布未來指引，以釐清對證據之期待。感官知覺與消費者反應研究——利用常見且經驗證之方法（例如盲測感官評估小組）——可能在不要求產品使用的情況下，提供關於 ENDS 風味配方之相對吸引力與感官特徵之有用資訊。40 若正確執行，此種方法可用於評估 ENDS 風味對青少年之吸引力。此類研究之樣本數可以相對適中。41 若申請人選擇進行此類研究，最終樣本數應以檢定力計算加以合理說明。</w:t>
      </w:r>
    </w:p>
    <w:p w14:paraId="4FD85FAF" w14:textId="152ED1CB" w:rsidR="00C47326" w:rsidRPr="00C47326" w:rsidRDefault="00C47326" w:rsidP="00C47326">
      <w:pPr>
        <w:rPr>
          <w:rFonts w:ascii="標楷體-繁" w:eastAsia="標楷體-繁" w:hAnsi="標楷體-繁"/>
          <w:color w:val="000000" w:themeColor="text1"/>
        </w:rPr>
      </w:pPr>
      <w:r w:rsidRPr="00C47326">
        <w:rPr>
          <w:rFonts w:ascii="標楷體-繁" w:eastAsia="標楷體-繁" w:hAnsi="標楷體-繁" w:hint="eastAsia"/>
          <w:color w:val="000000" w:themeColor="text1"/>
        </w:rPr>
        <w:t>FDA 建議，此類研究應納入基準風味，包括菸草、水果、糖果及其他常見風味，以提供解讀相對吸引力之脈絡。此方法消除了直接 vaping 暴露，同時仍能捕捉電子煙中實際使用之化學化合物所引發之感官反應。</w:t>
      </w:r>
    </w:p>
    <w:p w14:paraId="053CEC48" w14:textId="3DC63148" w:rsidR="00C47326" w:rsidRDefault="00C47326" w:rsidP="00C47326">
      <w:pPr>
        <w:rPr>
          <w:rFonts w:ascii="標楷體-繁" w:eastAsia="標楷體-繁" w:hAnsi="標楷體-繁"/>
          <w:color w:val="000000" w:themeColor="text1"/>
        </w:rPr>
      </w:pPr>
      <w:r w:rsidRPr="00C47326">
        <w:rPr>
          <w:rFonts w:ascii="標楷體-繁" w:eastAsia="標楷體-繁" w:hAnsi="標楷體-繁" w:hint="eastAsia"/>
          <w:color w:val="000000" w:themeColor="text1"/>
        </w:rPr>
        <w:t>本機關亦鼓勵希望提交其他創新且具科學嚴謹性研究，以證明其加味 ENDS 產品對青少年之吸引力較低且能帶來淨公共衛生利益之申請人，向 FDA 申請會議以討論其研究設計計畫。42</w:t>
      </w:r>
    </w:p>
    <w:p w14:paraId="480DA7D4" w14:textId="2541B629" w:rsidR="00C47326" w:rsidRDefault="00C47326" w:rsidP="00C47326">
      <w:pPr>
        <w:rPr>
          <w:rFonts w:ascii="標楷體-繁" w:eastAsia="標楷體-繁" w:hAnsi="標楷體-繁"/>
          <w:color w:val="000000" w:themeColor="text1"/>
          <w:sz w:val="21"/>
          <w:szCs w:val="21"/>
        </w:rPr>
      </w:pPr>
      <w:r w:rsidRPr="00C47326">
        <w:rPr>
          <w:rFonts w:ascii="標楷體-繁" w:eastAsia="標楷體-繁" w:hAnsi="標楷體-繁" w:hint="eastAsia"/>
          <w:color w:val="000000" w:themeColor="text1"/>
          <w:sz w:val="21"/>
          <w:szCs w:val="21"/>
        </w:rPr>
        <w:t>39 在適當且符合倫理與法規考量之情況下，申請人可納入年輕成年人（例如 18 至 21 歲）作為研究族群，作為評估與青少年相關之感官反應之代理，特別是在招募青少年族群存在實務或倫理困難時。</w:t>
      </w:r>
    </w:p>
    <w:p w14:paraId="063AB3C1" w14:textId="6FE88BB4" w:rsidR="00765AE4" w:rsidRPr="00765AE4" w:rsidRDefault="00765AE4" w:rsidP="00765AE4">
      <w:pPr>
        <w:rPr>
          <w:rFonts w:ascii="標楷體-繁" w:eastAsia="標楷體-繁" w:hAnsi="標楷體-繁"/>
          <w:b/>
          <w:bCs/>
          <w:color w:val="000000" w:themeColor="text1"/>
          <w:sz w:val="21"/>
          <w:szCs w:val="21"/>
        </w:rPr>
      </w:pPr>
      <w:r w:rsidRPr="00765AE4">
        <w:rPr>
          <w:rFonts w:ascii="標楷體-繁" w:eastAsia="標楷體-繁" w:hAnsi="標楷體-繁" w:hint="eastAsia"/>
          <w:b/>
          <w:bCs/>
          <w:color w:val="000000" w:themeColor="text1"/>
          <w:sz w:val="21"/>
          <w:szCs w:val="21"/>
        </w:rPr>
        <w:t>C. 新型裝置存取技術</w:t>
      </w:r>
    </w:p>
    <w:p w14:paraId="64F5F924" w14:textId="150EB2A8" w:rsidR="00765AE4" w:rsidRPr="00C47326" w:rsidRDefault="00765AE4" w:rsidP="00765AE4">
      <w:pPr>
        <w:rPr>
          <w:rFonts w:ascii="標楷體-繁" w:eastAsia="標楷體-繁" w:hAnsi="標楷體-繁"/>
          <w:color w:val="000000" w:themeColor="text1"/>
          <w:sz w:val="21"/>
          <w:szCs w:val="21"/>
        </w:rPr>
      </w:pPr>
      <w:r w:rsidRPr="00390C8C">
        <w:rPr>
          <w:rFonts w:ascii="標楷體-繁" w:eastAsia="標楷體-繁" w:hAnsi="標楷體-繁" w:hint="eastAsia"/>
          <w:color w:val="000000" w:themeColor="text1"/>
          <w:sz w:val="21"/>
          <w:szCs w:val="21"/>
          <w:highlight w:val="cyan"/>
        </w:rPr>
        <w:t>在判定允許新菸草產品上市是否符合 APPH 之前，FDA 亦考量旨在降低青少年起始使用與使用菸草產品風險之上市限制及其他緩解措施之潛在影響。</w:t>
      </w:r>
    </w:p>
    <w:p w14:paraId="573C665D" w14:textId="1D89C5A3" w:rsidR="00C47326" w:rsidRPr="00C47326" w:rsidRDefault="00C47326" w:rsidP="00C47326">
      <w:pPr>
        <w:rPr>
          <w:rFonts w:ascii="標楷體-繁" w:eastAsia="標楷體-繁" w:hAnsi="標楷體-繁"/>
          <w:color w:val="000000" w:themeColor="text1"/>
          <w:sz w:val="21"/>
          <w:szCs w:val="21"/>
        </w:rPr>
      </w:pPr>
      <w:r w:rsidRPr="00C47326">
        <w:rPr>
          <w:rFonts w:ascii="標楷體-繁" w:eastAsia="標楷體-繁" w:hAnsi="標楷體-繁" w:hint="eastAsia"/>
          <w:color w:val="000000" w:themeColor="text1"/>
          <w:sz w:val="21"/>
          <w:szCs w:val="21"/>
        </w:rPr>
        <w:t xml:space="preserve">40 </w:t>
      </w:r>
      <w:proofErr w:type="spellStart"/>
      <w:r w:rsidRPr="00C47326">
        <w:rPr>
          <w:rFonts w:ascii="標楷體-繁" w:eastAsia="標楷體-繁" w:hAnsi="標楷體-繁" w:hint="eastAsia"/>
          <w:color w:val="000000" w:themeColor="text1"/>
          <w:sz w:val="21"/>
          <w:szCs w:val="21"/>
        </w:rPr>
        <w:t>Pullicin</w:t>
      </w:r>
      <w:proofErr w:type="spellEnd"/>
      <w:r w:rsidRPr="00C47326">
        <w:rPr>
          <w:rFonts w:ascii="標楷體-繁" w:eastAsia="標楷體-繁" w:hAnsi="標楷體-繁" w:hint="eastAsia"/>
          <w:color w:val="000000" w:themeColor="text1"/>
          <w:sz w:val="21"/>
          <w:szCs w:val="21"/>
        </w:rPr>
        <w:t>, A.J., H. Kim, M.C. Brinkman, et al. "Impacts of Nicotine and Flavoring on the Sensory Perception of E-Cigarette Aerosol." Nicotine and Tobacco Research 22, no. 5 (2020): 806–813. 網址：https://doi.org/10.1093/ntr/ntz058。</w:t>
      </w:r>
    </w:p>
    <w:p w14:paraId="1C5AD5DC" w14:textId="77777777" w:rsidR="00C47326" w:rsidRPr="00C47326" w:rsidRDefault="00C47326" w:rsidP="00C47326">
      <w:pPr>
        <w:rPr>
          <w:rFonts w:ascii="標楷體-繁" w:eastAsia="標楷體-繁" w:hAnsi="標楷體-繁"/>
          <w:color w:val="000000" w:themeColor="text1"/>
          <w:sz w:val="21"/>
          <w:szCs w:val="21"/>
        </w:rPr>
      </w:pPr>
      <w:r w:rsidRPr="00C47326">
        <w:rPr>
          <w:rFonts w:ascii="標楷體-繁" w:eastAsia="標楷體-繁" w:hAnsi="標楷體-繁" w:hint="eastAsia"/>
          <w:color w:val="000000" w:themeColor="text1"/>
          <w:sz w:val="21"/>
          <w:szCs w:val="21"/>
        </w:rPr>
        <w:t>41 申請人應就所選研究族群、研究設計與樣本數提供科學理由，包括於適用時提供檢定力計算。</w:t>
      </w:r>
    </w:p>
    <w:p w14:paraId="1D500350" w14:textId="33E4F349" w:rsidR="00C47326" w:rsidRDefault="00C47326" w:rsidP="00C47326">
      <w:pPr>
        <w:rPr>
          <w:rFonts w:ascii="標楷體-繁" w:eastAsia="標楷體-繁" w:hAnsi="標楷體-繁"/>
          <w:color w:val="000000" w:themeColor="text1"/>
          <w:sz w:val="21"/>
          <w:szCs w:val="21"/>
        </w:rPr>
      </w:pPr>
      <w:r w:rsidRPr="00C47326">
        <w:rPr>
          <w:rFonts w:ascii="標楷體-繁" w:eastAsia="標楷體-繁" w:hAnsi="標楷體-繁" w:hint="eastAsia"/>
          <w:color w:val="000000" w:themeColor="text1"/>
          <w:sz w:val="21"/>
          <w:szCs w:val="21"/>
        </w:rPr>
        <w:lastRenderedPageBreak/>
        <w:t>42 有關與 FDA 會議之資訊，請參見產業與研究人員指引 “Meetings with Industry and Investigators on the Research and Development of Tobacco Products”，網址：https://www.fda.gov/tobacco-products/rules-regulations-and-guidance/guidance。</w:t>
      </w:r>
    </w:p>
    <w:p w14:paraId="7155FDA7" w14:textId="77777777" w:rsidR="00C47326" w:rsidRDefault="00C47326">
      <w:pPr>
        <w:rPr>
          <w:rFonts w:ascii="標楷體-繁" w:eastAsia="標楷體-繁" w:hAnsi="標楷體-繁"/>
          <w:color w:val="000000" w:themeColor="text1"/>
          <w:sz w:val="21"/>
          <w:szCs w:val="21"/>
        </w:rPr>
      </w:pPr>
      <w:r>
        <w:rPr>
          <w:rFonts w:ascii="標楷體-繁" w:eastAsia="標楷體-繁" w:hAnsi="標楷體-繁"/>
          <w:color w:val="000000" w:themeColor="text1"/>
          <w:sz w:val="21"/>
          <w:szCs w:val="21"/>
        </w:rPr>
        <w:br w:type="page"/>
      </w:r>
    </w:p>
    <w:p w14:paraId="687C78A2" w14:textId="0E9C3A4F" w:rsidR="00765AE4" w:rsidRDefault="00765AE4" w:rsidP="00765AE4">
      <w:pPr>
        <w:jc w:val="center"/>
        <w:rPr>
          <w:rFonts w:ascii="標楷體-繁" w:eastAsia="標楷體-繁" w:hAnsi="標楷體-繁"/>
          <w:color w:val="000000" w:themeColor="text1"/>
        </w:rPr>
      </w:pPr>
      <w:r w:rsidRPr="00765AE4">
        <w:rPr>
          <w:rFonts w:ascii="標楷體-繁" w:eastAsia="標楷體-繁" w:hAnsi="標楷體-繁" w:hint="eastAsia"/>
          <w:color w:val="000000" w:themeColor="text1"/>
        </w:rPr>
        <w:lastRenderedPageBreak/>
        <w:t>含非約束性建議</w:t>
      </w:r>
    </w:p>
    <w:p w14:paraId="1A759BCE" w14:textId="77777777" w:rsidR="00765AE4" w:rsidRPr="00765AE4" w:rsidRDefault="00765AE4" w:rsidP="00765AE4">
      <w:pPr>
        <w:jc w:val="center"/>
        <w:rPr>
          <w:rFonts w:ascii="標楷體-繁" w:eastAsia="標楷體-繁" w:hAnsi="標楷體-繁"/>
          <w:color w:val="000000" w:themeColor="text1"/>
        </w:rPr>
      </w:pPr>
    </w:p>
    <w:p w14:paraId="75173D88" w14:textId="2CE6DCAB" w:rsidR="00765AE4" w:rsidRPr="00765AE4" w:rsidRDefault="00765AE4" w:rsidP="00765AE4">
      <w:pPr>
        <w:jc w:val="both"/>
        <w:rPr>
          <w:rFonts w:ascii="標楷體-繁" w:eastAsia="標楷體-繁" w:hAnsi="標楷體-繁"/>
          <w:color w:val="000000" w:themeColor="text1"/>
        </w:rPr>
      </w:pPr>
      <w:r w:rsidRPr="00765AE4">
        <w:rPr>
          <w:rFonts w:ascii="標楷體-繁" w:eastAsia="標楷體-繁" w:hAnsi="標楷體-繁" w:hint="eastAsia"/>
          <w:color w:val="000000" w:themeColor="text1"/>
        </w:rPr>
        <w:t>目前之上市限制包括但不限於：旨在限制青少年接觸並降低其對菸草產品行銷吸引力之廣告與促銷限制（例如將廣告限於主要由成年人使用之平台，並採用已知不會引起青少年共鳴之廣告內容與方式，甚至在某些媒體管道中完全取消廣告），以及旨在限制青少年取得菸草產品之銷售存取限制（例如僅以面對面互動方式銷售產品、僅在成人專屬設施內銷售，或透過要求嚴格年齡與身分驗證之網站銷售）。</w:t>
      </w:r>
    </w:p>
    <w:p w14:paraId="00BED458" w14:textId="17A08E35" w:rsidR="00C47326" w:rsidRDefault="00765AE4" w:rsidP="00765AE4">
      <w:pPr>
        <w:jc w:val="both"/>
        <w:rPr>
          <w:rFonts w:ascii="標楷體-繁" w:eastAsia="標楷體-繁" w:hAnsi="標楷體-繁"/>
          <w:color w:val="000000" w:themeColor="text1"/>
        </w:rPr>
      </w:pPr>
      <w:r w:rsidRPr="00765AE4">
        <w:rPr>
          <w:rFonts w:ascii="標楷體-繁" w:eastAsia="標楷體-繁" w:hAnsi="標楷體-繁" w:hint="eastAsia"/>
          <w:color w:val="000000" w:themeColor="text1"/>
        </w:rPr>
        <w:t>然而，由於上述廣告與促銷限制旨在抑制對青少年之吸引力，但並未直接防止青少年使用，因此其本身未必足以提供足夠保證，以顯示青少年使用量已充分降低，足以緩解加味 ENDS 對青少年所帶來之重大風險。同樣地，現行各州法律之差異與法規漏洞，已削弱青少年存取限制；有動機的青少年與賣方可藉由電子商務排除條款、執法薄弱、規避郵政規則之替代配送方式，以及有限之處罰，輕易規避限制。43,44,45 全國監測顯示，大多數青少年取得 ENDS 的方式來自社會來源——朋友、熟人與非正式同儕轉售網絡——這些途徑完全存在於受管制的數位商務之外。例如，多數線上 ENDS 賣家仰賴年齡自行聲明，46 而未成年使用者確實能夠且的確輕易加以利用。47,48</w:t>
      </w:r>
    </w:p>
    <w:p w14:paraId="0115DF78" w14:textId="208C72A4" w:rsidR="00765AE4" w:rsidRDefault="00765AE4" w:rsidP="00765AE4">
      <w:pPr>
        <w:jc w:val="both"/>
        <w:rPr>
          <w:rFonts w:ascii="標楷體-繁" w:eastAsia="標楷體-繁" w:hAnsi="標楷體-繁"/>
          <w:color w:val="000000" w:themeColor="text1"/>
        </w:rPr>
      </w:pPr>
      <w:r w:rsidRPr="00765AE4">
        <w:rPr>
          <w:rFonts w:ascii="標楷體-繁" w:eastAsia="標楷體-繁" w:hAnsi="標楷體-繁" w:hint="eastAsia"/>
          <w:color w:val="000000" w:themeColor="text1"/>
        </w:rPr>
        <w:t>FDA 亦考量 ENDS 是否納入旨在防止低於聯邦法定最低銷售年齡（21 歲）者取得與使用之技術措施。此類技術性防護措施稱為裝置存取限制（device access restrictions, DAR）。DAR 旨在成為 ENDS 裝置使用之一部分之系統，包括軟體或技術，透過要求使用者進行年齡驗證與身分識別，以解鎖及／或使用產品，持續防止未成年人使用菸草產品。例如，ENDS 可採用年齡門檻技術，要求使用者以指紋或其他生物特徵參數進行身分識別後，方可解鎖並使用菸草產品，或採用地理圍欄技術（例如使菸草產品無法於學校或遊樂場等特定地點運作之技術）。FDA 在作成 APPH 判定時，會評估 DAR。49</w:t>
      </w:r>
    </w:p>
    <w:p w14:paraId="29EBE8E0" w14:textId="34FC9C23" w:rsidR="00765AE4" w:rsidRPr="00765AE4" w:rsidRDefault="00765AE4" w:rsidP="00765AE4">
      <w:pPr>
        <w:jc w:val="both"/>
        <w:rPr>
          <w:rFonts w:ascii="標楷體-繁" w:eastAsia="標楷體-繁" w:hAnsi="標楷體-繁"/>
          <w:color w:val="000000" w:themeColor="text1"/>
        </w:rPr>
      </w:pPr>
      <w:r w:rsidRPr="00765AE4">
        <w:rPr>
          <w:rFonts w:ascii="標楷體-繁" w:eastAsia="標楷體-繁" w:hAnsi="標楷體-繁" w:hint="eastAsia"/>
          <w:color w:val="000000" w:themeColor="text1"/>
        </w:rPr>
        <w:t>鑑於對青少年具有吸引力之風味所帶來之額外風險，以及目前缺乏有關利用 DAR 來防止或充分緩解青少年使用風險之真實世界經驗，若申請人之高度吸引青少年之加味 ENDS 宣稱僅依賴 DAR 技術來處理青少年風險，則其須承擔特別高度之舉證負擔，以依據來自強健科學研究之有效且可靠證據證明對該等風險已有充分緩解。在評估某產品是否符合上市授權之 APPH 標準時，FDA 會評估青少年起始使用與使用之可能性，尤其是在對青少年具有吸引力之加味 ENDS，例如水果及糖果／甜點／其他甜味風味的脈絡下。因此，若提交於此類對青少年具吸引力之風味 ENDS 產品之 DAR，欠缺足夠且實質之證據證明已充分緩解青少年風險，則不足以克服與這些風味類別相關之加重疑慮。</w:t>
      </w:r>
    </w:p>
    <w:p w14:paraId="09248FE0" w14:textId="59FEB2A5" w:rsidR="00765AE4" w:rsidRPr="00765AE4" w:rsidRDefault="00765AE4" w:rsidP="00765AE4">
      <w:pPr>
        <w:jc w:val="both"/>
        <w:rPr>
          <w:rFonts w:ascii="標楷體-繁" w:eastAsia="標楷體-繁" w:hAnsi="標楷體-繁"/>
          <w:color w:val="000000" w:themeColor="text1"/>
        </w:rPr>
      </w:pPr>
      <w:r w:rsidRPr="00765AE4">
        <w:rPr>
          <w:rFonts w:ascii="標楷體-繁" w:eastAsia="標楷體-繁" w:hAnsi="標楷體-繁" w:hint="eastAsia"/>
          <w:color w:val="000000" w:themeColor="text1"/>
        </w:rPr>
        <w:t>因此，FDA 目前之看法是，雖然此類技術可能是全面性青少年預防策略之一個組成部分，但其單獨存在時，未必足以滿足為證明已充分緩解與高度吸引青少年之加</w:t>
      </w:r>
      <w:r w:rsidRPr="00765AE4">
        <w:rPr>
          <w:rFonts w:ascii="標楷體-繁" w:eastAsia="標楷體-繁" w:hAnsi="標楷體-繁" w:hint="eastAsia"/>
          <w:color w:val="000000" w:themeColor="text1"/>
        </w:rPr>
        <w:lastRenderedPageBreak/>
        <w:t>味 ENDS（例如水果及糖果／甜點／其他甜味）相關之青少年使用與起始使用風險所需之特別高度舉證負擔。</w:t>
      </w:r>
    </w:p>
    <w:p w14:paraId="4716B1F4" w14:textId="1B184C2B" w:rsidR="00765AE4" w:rsidRDefault="00765AE4" w:rsidP="00765AE4">
      <w:pPr>
        <w:jc w:val="both"/>
        <w:rPr>
          <w:rFonts w:ascii="標楷體-繁" w:eastAsia="標楷體-繁" w:hAnsi="標楷體-繁"/>
          <w:color w:val="000000" w:themeColor="text1"/>
        </w:rPr>
      </w:pPr>
      <w:r w:rsidRPr="00765AE4">
        <w:rPr>
          <w:rFonts w:ascii="標楷體-繁" w:eastAsia="標楷體-繁" w:hAnsi="標楷體-繁" w:hint="eastAsia"/>
          <w:color w:val="000000" w:themeColor="text1"/>
        </w:rPr>
        <w:t>FDA 依 APPH 標準對加味 ENDS 產品之評估，係建立在依風險比例、以產品為特定對象之評估之上，權衡其對成年吸菸者之潛在利益與非使用者（例如青少年）起始使用與使用之風險。鑑於某些風味類別，特別是對青少年具吸引力之水果及糖果／甜點／其他甜味，與青少年吸引力之間已有充分確立且重大之關聯，申請人須承擔較高之舉證負擔，以證明此類產品之上市將對整體人口帶來淨效益。</w:t>
      </w:r>
    </w:p>
    <w:p w14:paraId="0E2EDA80" w14:textId="368121EA" w:rsidR="00765AE4" w:rsidRDefault="00765AE4" w:rsidP="00765AE4">
      <w:pPr>
        <w:jc w:val="both"/>
        <w:rPr>
          <w:rFonts w:ascii="標楷體-繁" w:eastAsia="標楷體-繁" w:hAnsi="標楷體-繁"/>
          <w:color w:val="000000" w:themeColor="text1"/>
        </w:rPr>
      </w:pPr>
    </w:p>
    <w:p w14:paraId="12FED771" w14:textId="559BBDD3" w:rsidR="00765AE4" w:rsidRDefault="00765AE4" w:rsidP="00765AE4">
      <w:pPr>
        <w:jc w:val="both"/>
        <w:rPr>
          <w:rFonts w:ascii="標楷體-繁" w:eastAsia="標楷體-繁" w:hAnsi="標楷體-繁"/>
          <w:color w:val="000000" w:themeColor="text1"/>
        </w:rPr>
      </w:pPr>
    </w:p>
    <w:p w14:paraId="52CE3532" w14:textId="4BDBAE6F" w:rsidR="00765AE4" w:rsidRDefault="00765AE4" w:rsidP="00765AE4">
      <w:pPr>
        <w:jc w:val="both"/>
        <w:rPr>
          <w:rFonts w:ascii="標楷體-繁" w:eastAsia="標楷體-繁" w:hAnsi="標楷體-繁"/>
          <w:color w:val="000000" w:themeColor="text1"/>
        </w:rPr>
      </w:pPr>
    </w:p>
    <w:p w14:paraId="45BFA80C" w14:textId="649EB863" w:rsidR="00765AE4" w:rsidRDefault="00765AE4" w:rsidP="00765AE4">
      <w:pPr>
        <w:jc w:val="both"/>
        <w:rPr>
          <w:rFonts w:ascii="標楷體-繁" w:eastAsia="標楷體-繁" w:hAnsi="標楷體-繁"/>
          <w:color w:val="000000" w:themeColor="text1"/>
        </w:rPr>
      </w:pPr>
    </w:p>
    <w:p w14:paraId="7DF2162B" w14:textId="77777777" w:rsidR="00765AE4" w:rsidRDefault="00765AE4" w:rsidP="00765AE4">
      <w:pPr>
        <w:jc w:val="both"/>
        <w:rPr>
          <w:rFonts w:ascii="標楷體-繁" w:eastAsia="標楷體-繁" w:hAnsi="標楷體-繁"/>
          <w:color w:val="000000" w:themeColor="text1"/>
        </w:rPr>
      </w:pPr>
    </w:p>
    <w:p w14:paraId="03770994" w14:textId="468AB6CD" w:rsidR="00765AE4" w:rsidRPr="00765AE4" w:rsidRDefault="00765AE4" w:rsidP="00765AE4">
      <w:pPr>
        <w:rPr>
          <w:rFonts w:ascii="標楷體-繁" w:eastAsia="標楷體-繁" w:hAnsi="標楷體-繁"/>
          <w:color w:val="000000" w:themeColor="text1"/>
          <w:sz w:val="21"/>
          <w:szCs w:val="21"/>
        </w:rPr>
      </w:pPr>
      <w:r w:rsidRPr="00765AE4">
        <w:rPr>
          <w:rFonts w:ascii="標楷體-繁" w:eastAsia="標楷體-繁" w:hAnsi="標楷體-繁" w:hint="eastAsia"/>
          <w:color w:val="000000" w:themeColor="text1"/>
          <w:sz w:val="21"/>
          <w:szCs w:val="21"/>
        </w:rPr>
        <w:t xml:space="preserve">43 Leas, E.C., T. </w:t>
      </w:r>
      <w:proofErr w:type="spellStart"/>
      <w:r w:rsidRPr="00765AE4">
        <w:rPr>
          <w:rFonts w:ascii="標楷體-繁" w:eastAsia="標楷體-繁" w:hAnsi="標楷體-繁" w:hint="eastAsia"/>
          <w:color w:val="000000" w:themeColor="text1"/>
          <w:sz w:val="21"/>
          <w:szCs w:val="21"/>
        </w:rPr>
        <w:t>Mejorado</w:t>
      </w:r>
      <w:proofErr w:type="spellEnd"/>
      <w:r w:rsidRPr="00765AE4">
        <w:rPr>
          <w:rFonts w:ascii="標楷體-繁" w:eastAsia="標楷體-繁" w:hAnsi="標楷體-繁" w:hint="eastAsia"/>
          <w:color w:val="000000" w:themeColor="text1"/>
          <w:sz w:val="21"/>
          <w:szCs w:val="21"/>
        </w:rPr>
        <w:t xml:space="preserve">, R. </w:t>
      </w:r>
      <w:proofErr w:type="spellStart"/>
      <w:r w:rsidRPr="00765AE4">
        <w:rPr>
          <w:rFonts w:ascii="標楷體-繁" w:eastAsia="標楷體-繁" w:hAnsi="標楷體-繁" w:hint="eastAsia"/>
          <w:color w:val="000000" w:themeColor="text1"/>
          <w:sz w:val="21"/>
          <w:szCs w:val="21"/>
        </w:rPr>
        <w:t>Harati</w:t>
      </w:r>
      <w:proofErr w:type="spellEnd"/>
      <w:r w:rsidRPr="00765AE4">
        <w:rPr>
          <w:rFonts w:ascii="標楷體-繁" w:eastAsia="標楷體-繁" w:hAnsi="標楷體-繁" w:hint="eastAsia"/>
          <w:color w:val="000000" w:themeColor="text1"/>
          <w:sz w:val="21"/>
          <w:szCs w:val="21"/>
        </w:rPr>
        <w:t xml:space="preserve">, et al. "E-Commerce Licensing Loopholes: A Case Study of Online Shopping for Tobacco Products Following a Statewide Sales Restriction on </w:t>
      </w:r>
      <w:proofErr w:type="spellStart"/>
      <w:r w:rsidRPr="00765AE4">
        <w:rPr>
          <w:rFonts w:ascii="標楷體-繁" w:eastAsia="標楷體-繁" w:hAnsi="標楷體-繁" w:hint="eastAsia"/>
          <w:color w:val="000000" w:themeColor="text1"/>
          <w:sz w:val="21"/>
          <w:szCs w:val="21"/>
        </w:rPr>
        <w:t>Flavoured</w:t>
      </w:r>
      <w:proofErr w:type="spellEnd"/>
      <w:r w:rsidRPr="00765AE4">
        <w:rPr>
          <w:rFonts w:ascii="標楷體-繁" w:eastAsia="標楷體-繁" w:hAnsi="標楷體-繁" w:hint="eastAsia"/>
          <w:color w:val="000000" w:themeColor="text1"/>
          <w:sz w:val="21"/>
          <w:szCs w:val="21"/>
        </w:rPr>
        <w:t xml:space="preserve"> Tobacco in California." Tobacco Control 34, no. 4 (2025): 523–526. 網址：https://doi.org/10.1136/tc-2023-058269。</w:t>
      </w:r>
    </w:p>
    <w:p w14:paraId="7445F593" w14:textId="61C10FDF" w:rsidR="00765AE4" w:rsidRPr="00765AE4" w:rsidRDefault="00765AE4" w:rsidP="00765AE4">
      <w:pPr>
        <w:rPr>
          <w:rFonts w:ascii="標楷體-繁" w:eastAsia="標楷體-繁" w:hAnsi="標楷體-繁"/>
          <w:color w:val="000000" w:themeColor="text1"/>
          <w:sz w:val="21"/>
          <w:szCs w:val="21"/>
        </w:rPr>
      </w:pPr>
      <w:r w:rsidRPr="00765AE4">
        <w:rPr>
          <w:rFonts w:ascii="標楷體-繁" w:eastAsia="標楷體-繁" w:hAnsi="標楷體-繁" w:hint="eastAsia"/>
          <w:color w:val="000000" w:themeColor="text1"/>
          <w:sz w:val="21"/>
          <w:szCs w:val="21"/>
        </w:rPr>
        <w:t>44 Gottlieb, M.A. "To End Youth Vaping as an On-Ramp to Addiction, Close Legal Loopholes and Rigorously Enforce the Law." American Journal of Public Health 113, no. 5 (2023): 472–473. 網址：https://doi.org/10.2105/AJPH.2023.307271。</w:t>
      </w:r>
    </w:p>
    <w:p w14:paraId="627FD90A" w14:textId="5EB50657" w:rsidR="00765AE4" w:rsidRPr="00765AE4" w:rsidRDefault="00765AE4" w:rsidP="00765AE4">
      <w:pPr>
        <w:rPr>
          <w:rFonts w:ascii="標楷體-繁" w:eastAsia="標楷體-繁" w:hAnsi="標楷體-繁"/>
          <w:color w:val="000000" w:themeColor="text1"/>
          <w:sz w:val="21"/>
          <w:szCs w:val="21"/>
        </w:rPr>
      </w:pPr>
      <w:r w:rsidRPr="00765AE4">
        <w:rPr>
          <w:rFonts w:ascii="標楷體-繁" w:eastAsia="標楷體-繁" w:hAnsi="標楷體-繁" w:hint="eastAsia"/>
          <w:color w:val="000000" w:themeColor="text1"/>
          <w:sz w:val="21"/>
          <w:szCs w:val="21"/>
        </w:rPr>
        <w:t xml:space="preserve">45 </w:t>
      </w:r>
      <w:proofErr w:type="spellStart"/>
      <w:r w:rsidRPr="00765AE4">
        <w:rPr>
          <w:rFonts w:ascii="標楷體-繁" w:eastAsia="標楷體-繁" w:hAnsi="標楷體-繁" w:hint="eastAsia"/>
          <w:color w:val="000000" w:themeColor="text1"/>
          <w:sz w:val="21"/>
          <w:szCs w:val="21"/>
        </w:rPr>
        <w:t>Azagba</w:t>
      </w:r>
      <w:proofErr w:type="spellEnd"/>
      <w:r w:rsidRPr="00765AE4">
        <w:rPr>
          <w:rFonts w:ascii="標楷體-繁" w:eastAsia="標楷體-繁" w:hAnsi="標楷體-繁" w:hint="eastAsia"/>
          <w:color w:val="000000" w:themeColor="text1"/>
          <w:sz w:val="21"/>
          <w:szCs w:val="21"/>
        </w:rPr>
        <w:t>, S., T. Ebling, and A. Korkmaz. "Social Media and E-Cigarette Use: The Mediating Role of Mental Health Conditions." Journal of Affective Disorders 344 (2024): 528–534. 網址：https://doi.org/10.1016/j.jad.2023.10.053。</w:t>
      </w:r>
    </w:p>
    <w:p w14:paraId="36434E87" w14:textId="76F14744" w:rsidR="00765AE4" w:rsidRPr="00765AE4" w:rsidRDefault="00765AE4" w:rsidP="00765AE4">
      <w:pPr>
        <w:rPr>
          <w:rFonts w:ascii="標楷體-繁" w:eastAsia="標楷體-繁" w:hAnsi="標楷體-繁"/>
          <w:color w:val="000000" w:themeColor="text1"/>
          <w:sz w:val="21"/>
          <w:szCs w:val="21"/>
        </w:rPr>
      </w:pPr>
      <w:r w:rsidRPr="00765AE4">
        <w:rPr>
          <w:rFonts w:ascii="標楷體-繁" w:eastAsia="標楷體-繁" w:hAnsi="標楷體-繁" w:hint="eastAsia"/>
          <w:color w:val="000000" w:themeColor="text1"/>
          <w:sz w:val="21"/>
          <w:szCs w:val="21"/>
        </w:rPr>
        <w:t xml:space="preserve">46 Bertrand, A., M.C. Diaz, E.C. Hair, and B.A. </w:t>
      </w:r>
      <w:proofErr w:type="spellStart"/>
      <w:r w:rsidRPr="00765AE4">
        <w:rPr>
          <w:rFonts w:ascii="標楷體-繁" w:eastAsia="標楷體-繁" w:hAnsi="標楷體-繁" w:hint="eastAsia"/>
          <w:color w:val="000000" w:themeColor="text1"/>
          <w:sz w:val="21"/>
          <w:szCs w:val="21"/>
        </w:rPr>
        <w:t>Schillo</w:t>
      </w:r>
      <w:proofErr w:type="spellEnd"/>
      <w:r w:rsidRPr="00765AE4">
        <w:rPr>
          <w:rFonts w:ascii="標楷體-繁" w:eastAsia="標楷體-繁" w:hAnsi="標楷體-繁" w:hint="eastAsia"/>
          <w:color w:val="000000" w:themeColor="text1"/>
          <w:sz w:val="21"/>
          <w:szCs w:val="21"/>
        </w:rPr>
        <w:t>. "Easy Access: Identification Verification and Shipping Methods Used by Online Vape Shops." Tobacco Control 34, no. 2 (2025): 259–262. 網址：https://doi.org/10.1136/tc-2023-058303。</w:t>
      </w:r>
    </w:p>
    <w:p w14:paraId="5C00D8A0" w14:textId="2147E8A7" w:rsidR="00765AE4" w:rsidRPr="00765AE4" w:rsidRDefault="00765AE4" w:rsidP="00765AE4">
      <w:pPr>
        <w:rPr>
          <w:rFonts w:ascii="標楷體-繁" w:eastAsia="標楷體-繁" w:hAnsi="標楷體-繁"/>
          <w:color w:val="000000" w:themeColor="text1"/>
          <w:sz w:val="21"/>
          <w:szCs w:val="21"/>
        </w:rPr>
      </w:pPr>
      <w:r w:rsidRPr="00765AE4">
        <w:rPr>
          <w:rFonts w:ascii="標楷體-繁" w:eastAsia="標楷體-繁" w:hAnsi="標楷體-繁" w:hint="eastAsia"/>
          <w:color w:val="000000" w:themeColor="text1"/>
          <w:sz w:val="21"/>
          <w:szCs w:val="21"/>
        </w:rPr>
        <w:t xml:space="preserve">47 </w:t>
      </w:r>
      <w:proofErr w:type="spellStart"/>
      <w:r w:rsidRPr="00765AE4">
        <w:rPr>
          <w:rFonts w:ascii="標楷體-繁" w:eastAsia="標楷體-繁" w:hAnsi="標楷體-繁" w:hint="eastAsia"/>
          <w:color w:val="000000" w:themeColor="text1"/>
          <w:sz w:val="21"/>
          <w:szCs w:val="21"/>
        </w:rPr>
        <w:t>Harati</w:t>
      </w:r>
      <w:proofErr w:type="spellEnd"/>
      <w:r w:rsidRPr="00765AE4">
        <w:rPr>
          <w:rFonts w:ascii="標楷體-繁" w:eastAsia="標楷體-繁" w:hAnsi="標楷體-繁" w:hint="eastAsia"/>
          <w:color w:val="000000" w:themeColor="text1"/>
          <w:sz w:val="21"/>
          <w:szCs w:val="21"/>
        </w:rPr>
        <w:t xml:space="preserve">, R.M., S.E. Ellis, N. </w:t>
      </w:r>
      <w:proofErr w:type="spellStart"/>
      <w:r w:rsidRPr="00765AE4">
        <w:rPr>
          <w:rFonts w:ascii="標楷體-繁" w:eastAsia="標楷體-繁" w:hAnsi="標楷體-繁" w:hint="eastAsia"/>
          <w:color w:val="000000" w:themeColor="text1"/>
          <w:sz w:val="21"/>
          <w:szCs w:val="21"/>
        </w:rPr>
        <w:t>Satybaldiyeva</w:t>
      </w:r>
      <w:proofErr w:type="spellEnd"/>
      <w:r w:rsidRPr="00765AE4">
        <w:rPr>
          <w:rFonts w:ascii="標楷體-繁" w:eastAsia="標楷體-繁" w:hAnsi="標楷體-繁" w:hint="eastAsia"/>
          <w:color w:val="000000" w:themeColor="text1"/>
          <w:sz w:val="21"/>
          <w:szCs w:val="21"/>
        </w:rPr>
        <w:t>, et al. "Online Retailer Nonadherence to Age Verification, Shipping, and Flavor Restrictions on E-Cigarettes." JAMA 332, no. 24 (2024): 2113–2114. 網址：https://doi.org/10.1001/jama.2024.21597。</w:t>
      </w:r>
    </w:p>
    <w:p w14:paraId="620747B2" w14:textId="0722037E" w:rsidR="00765AE4" w:rsidRPr="00765AE4" w:rsidRDefault="00765AE4" w:rsidP="00765AE4">
      <w:pPr>
        <w:rPr>
          <w:rFonts w:ascii="標楷體-繁" w:eastAsia="標楷體-繁" w:hAnsi="標楷體-繁"/>
          <w:color w:val="000000" w:themeColor="text1"/>
          <w:sz w:val="21"/>
          <w:szCs w:val="21"/>
        </w:rPr>
      </w:pPr>
      <w:r w:rsidRPr="00765AE4">
        <w:rPr>
          <w:rFonts w:ascii="標楷體-繁" w:eastAsia="標楷體-繁" w:hAnsi="標楷體-繁" w:hint="eastAsia"/>
          <w:color w:val="000000" w:themeColor="text1"/>
          <w:sz w:val="21"/>
          <w:szCs w:val="21"/>
        </w:rPr>
        <w:t xml:space="preserve">48 </w:t>
      </w:r>
      <w:proofErr w:type="spellStart"/>
      <w:r w:rsidRPr="00765AE4">
        <w:rPr>
          <w:rFonts w:ascii="標楷體-繁" w:eastAsia="標楷體-繁" w:hAnsi="標楷體-繁" w:hint="eastAsia"/>
          <w:color w:val="000000" w:themeColor="text1"/>
          <w:sz w:val="21"/>
          <w:szCs w:val="21"/>
        </w:rPr>
        <w:t>Gaiha</w:t>
      </w:r>
      <w:proofErr w:type="spellEnd"/>
      <w:r w:rsidRPr="00765AE4">
        <w:rPr>
          <w:rFonts w:ascii="標楷體-繁" w:eastAsia="標楷體-繁" w:hAnsi="標楷體-繁" w:hint="eastAsia"/>
          <w:color w:val="000000" w:themeColor="text1"/>
          <w:sz w:val="21"/>
          <w:szCs w:val="21"/>
        </w:rPr>
        <w:t xml:space="preserve">, S.M., L.K. </w:t>
      </w:r>
      <w:proofErr w:type="spellStart"/>
      <w:r w:rsidRPr="00765AE4">
        <w:rPr>
          <w:rFonts w:ascii="標楷體-繁" w:eastAsia="標楷體-繁" w:hAnsi="標楷體-繁" w:hint="eastAsia"/>
          <w:color w:val="000000" w:themeColor="text1"/>
          <w:sz w:val="21"/>
          <w:szCs w:val="21"/>
        </w:rPr>
        <w:t>Lempert</w:t>
      </w:r>
      <w:proofErr w:type="spellEnd"/>
      <w:r w:rsidRPr="00765AE4">
        <w:rPr>
          <w:rFonts w:ascii="標楷體-繁" w:eastAsia="標楷體-繁" w:hAnsi="標楷體-繁" w:hint="eastAsia"/>
          <w:color w:val="000000" w:themeColor="text1"/>
          <w:sz w:val="21"/>
          <w:szCs w:val="21"/>
        </w:rPr>
        <w:t>, C. Lin, and B. Halpern-</w:t>
      </w:r>
      <w:proofErr w:type="spellStart"/>
      <w:r w:rsidRPr="00765AE4">
        <w:rPr>
          <w:rFonts w:ascii="標楷體-繁" w:eastAsia="標楷體-繁" w:hAnsi="標楷體-繁" w:hint="eastAsia"/>
          <w:color w:val="000000" w:themeColor="text1"/>
          <w:sz w:val="21"/>
          <w:szCs w:val="21"/>
        </w:rPr>
        <w:t>Felsher</w:t>
      </w:r>
      <w:proofErr w:type="spellEnd"/>
      <w:r w:rsidRPr="00765AE4">
        <w:rPr>
          <w:rFonts w:ascii="標楷體-繁" w:eastAsia="標楷體-繁" w:hAnsi="標楷體-繁" w:hint="eastAsia"/>
          <w:color w:val="000000" w:themeColor="text1"/>
          <w:sz w:val="21"/>
          <w:szCs w:val="21"/>
        </w:rPr>
        <w:t>. "E-Cigarette Access and Age Verification among Adolescents, Young Adults, and Adults." Addictive Behaviors 161 (2025): 108193. 網址：</w:t>
      </w:r>
      <w:hyperlink r:id="rId9" w:history="1">
        <w:r w:rsidRPr="00765AE4">
          <w:rPr>
            <w:rStyle w:val="af"/>
            <w:rFonts w:ascii="標楷體-繁" w:eastAsia="標楷體-繁" w:hAnsi="標楷體-繁" w:hint="eastAsia"/>
            <w:sz w:val="21"/>
            <w:szCs w:val="21"/>
          </w:rPr>
          <w:t>https://doi.org/10.1016/j.addbeh.2024.108193</w:t>
        </w:r>
      </w:hyperlink>
      <w:r w:rsidRPr="00765AE4">
        <w:rPr>
          <w:rFonts w:ascii="標楷體-繁" w:eastAsia="標楷體-繁" w:hAnsi="標楷體-繁" w:hint="eastAsia"/>
          <w:color w:val="000000" w:themeColor="text1"/>
          <w:sz w:val="21"/>
          <w:szCs w:val="21"/>
        </w:rPr>
        <w:t>。</w:t>
      </w:r>
    </w:p>
    <w:p w14:paraId="1BB8AED3" w14:textId="5C2E3992" w:rsidR="00712345" w:rsidRPr="00712345" w:rsidRDefault="00765AE4" w:rsidP="00C47326">
      <w:pPr>
        <w:rPr>
          <w:rFonts w:ascii="標楷體-繁" w:eastAsia="標楷體-繁" w:hAnsi="標楷體-繁"/>
          <w:color w:val="000000" w:themeColor="text1"/>
        </w:rPr>
      </w:pPr>
      <w:r w:rsidRPr="00765AE4">
        <w:rPr>
          <w:rFonts w:ascii="標楷體-繁" w:eastAsia="標楷體-繁" w:hAnsi="標楷體-繁" w:hint="eastAsia"/>
          <w:color w:val="000000" w:themeColor="text1"/>
          <w:sz w:val="21"/>
          <w:szCs w:val="21"/>
        </w:rPr>
        <w:t>49 這通常包括軟體設計、功能、風險分析、操作與維護實務，以及針對 DAR 之研究，包括人因研究，用以證明 DAR 能允許年滿 21 歲者取得裝置，同時防止未滿 21 歲者取得裝置。</w:t>
      </w:r>
    </w:p>
    <w:sectPr w:rsidR="00712345" w:rsidRPr="00712345" w:rsidSect="0081408A">
      <w:footerReference w:type="even" r:id="rId10"/>
      <w:footerReference w:type="default" r:id="rId11"/>
      <w:footnotePr>
        <w:numRestart w:val="eachSect"/>
      </w:footnotePr>
      <w:pgSz w:w="12240" w:h="15840"/>
      <w:pgMar w:top="1440" w:right="1800" w:bottom="1440" w:left="180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9FB97F" w14:textId="77777777" w:rsidR="001F59E4" w:rsidRDefault="001F59E4" w:rsidP="0081408A">
      <w:pPr>
        <w:spacing w:after="0"/>
      </w:pPr>
      <w:r>
        <w:separator/>
      </w:r>
    </w:p>
  </w:endnote>
  <w:endnote w:type="continuationSeparator" w:id="0">
    <w:p w14:paraId="14A60C72" w14:textId="77777777" w:rsidR="001F59E4" w:rsidRDefault="001F59E4" w:rsidP="0081408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Aptos Display">
    <w:panose1 w:val="020B0004020202020204"/>
    <w:charset w:val="00"/>
    <w:family w:val="swiss"/>
    <w:pitch w:val="variable"/>
    <w:sig w:usb0="20000287" w:usb1="00000003" w:usb2="00000000" w:usb3="00000000" w:csb0="0000019F" w:csb1="00000000"/>
  </w:font>
  <w:font w:name="Consolas">
    <w:panose1 w:val="020B0609020204030204"/>
    <w:charset w:val="00"/>
    <w:family w:val="modern"/>
    <w:pitch w:val="fixed"/>
    <w:sig w:usb0="E10002FF" w:usb1="4000FCFF" w:usb2="00000009" w:usb3="00000000" w:csb0="0000019F" w:csb1="00000000"/>
  </w:font>
  <w:font w:name="標楷體-繁">
    <w:panose1 w:val="03000500000000000000"/>
    <w:charset w:val="88"/>
    <w:family w:val="script"/>
    <w:pitch w:val="variable"/>
    <w:sig w:usb0="800002E3" w:usb1="38CFFD7A" w:usb2="00000016" w:usb3="00000000" w:csb0="0010000D"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f7"/>
      </w:rPr>
      <w:id w:val="1715238424"/>
      <w:docPartObj>
        <w:docPartGallery w:val="Page Numbers (Bottom of Page)"/>
        <w:docPartUnique/>
      </w:docPartObj>
    </w:sdtPr>
    <w:sdtEndPr>
      <w:rPr>
        <w:rStyle w:val="af7"/>
      </w:rPr>
    </w:sdtEndPr>
    <w:sdtContent>
      <w:p w14:paraId="7E4A30E8" w14:textId="50BFC51A" w:rsidR="0081408A" w:rsidRDefault="0081408A" w:rsidP="00DC5056">
        <w:pPr>
          <w:pStyle w:val="af5"/>
          <w:framePr w:wrap="none" w:vAnchor="text" w:hAnchor="margin" w:xAlign="center" w:y="1"/>
          <w:rPr>
            <w:rStyle w:val="af7"/>
          </w:rPr>
        </w:pPr>
        <w:r>
          <w:rPr>
            <w:rStyle w:val="af7"/>
          </w:rPr>
          <w:fldChar w:fldCharType="begin"/>
        </w:r>
        <w:r>
          <w:rPr>
            <w:rStyle w:val="af7"/>
          </w:rPr>
          <w:instrText xml:space="preserve"> PAGE </w:instrText>
        </w:r>
        <w:r>
          <w:rPr>
            <w:rStyle w:val="af7"/>
          </w:rPr>
          <w:fldChar w:fldCharType="end"/>
        </w:r>
      </w:p>
    </w:sdtContent>
  </w:sdt>
  <w:p w14:paraId="4EC1DD0E" w14:textId="77777777" w:rsidR="0081408A" w:rsidRDefault="0081408A" w:rsidP="0081408A">
    <w:pPr>
      <w:pStyle w:val="af5"/>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f7"/>
      </w:rPr>
      <w:id w:val="-804467977"/>
      <w:docPartObj>
        <w:docPartGallery w:val="Page Numbers (Bottom of Page)"/>
        <w:docPartUnique/>
      </w:docPartObj>
    </w:sdtPr>
    <w:sdtEndPr>
      <w:rPr>
        <w:rStyle w:val="af7"/>
      </w:rPr>
    </w:sdtEndPr>
    <w:sdtContent>
      <w:p w14:paraId="24850D9E" w14:textId="2982BD60" w:rsidR="0081408A" w:rsidRDefault="0081408A" w:rsidP="00DC5056">
        <w:pPr>
          <w:pStyle w:val="af5"/>
          <w:framePr w:wrap="none" w:vAnchor="text" w:hAnchor="margin" w:xAlign="center" w:y="1"/>
          <w:rPr>
            <w:rStyle w:val="af7"/>
          </w:rPr>
        </w:pPr>
        <w:r>
          <w:rPr>
            <w:rStyle w:val="af7"/>
          </w:rPr>
          <w:fldChar w:fldCharType="begin"/>
        </w:r>
        <w:r>
          <w:rPr>
            <w:rStyle w:val="af7"/>
          </w:rPr>
          <w:instrText xml:space="preserve"> PAGE </w:instrText>
        </w:r>
        <w:r>
          <w:rPr>
            <w:rStyle w:val="af7"/>
          </w:rPr>
          <w:fldChar w:fldCharType="separate"/>
        </w:r>
        <w:r>
          <w:rPr>
            <w:rStyle w:val="af7"/>
            <w:noProof/>
          </w:rPr>
          <w:t>1</w:t>
        </w:r>
        <w:r>
          <w:rPr>
            <w:rStyle w:val="af7"/>
          </w:rPr>
          <w:fldChar w:fldCharType="end"/>
        </w:r>
      </w:p>
    </w:sdtContent>
  </w:sdt>
  <w:p w14:paraId="1862E201" w14:textId="77777777" w:rsidR="0081408A" w:rsidRDefault="0081408A" w:rsidP="0081408A">
    <w:pPr>
      <w:pStyle w:val="af5"/>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646396" w14:textId="77777777" w:rsidR="001F59E4" w:rsidRDefault="001F59E4" w:rsidP="0081408A">
      <w:pPr>
        <w:spacing w:after="0"/>
      </w:pPr>
      <w:r>
        <w:separator/>
      </w:r>
    </w:p>
  </w:footnote>
  <w:footnote w:type="continuationSeparator" w:id="0">
    <w:p w14:paraId="3EB3E67F" w14:textId="77777777" w:rsidR="001F59E4" w:rsidRDefault="001F59E4" w:rsidP="0081408A">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A990"/>
    <w:multiLevelType w:val="multilevel"/>
    <w:tmpl w:val="799604F8"/>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15:restartNumberingAfterBreak="0">
    <w:nsid w:val="0000A991"/>
    <w:multiLevelType w:val="multilevel"/>
    <w:tmpl w:val="F078E9EE"/>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2" w15:restartNumberingAfterBreak="0">
    <w:nsid w:val="00A99201"/>
    <w:multiLevelType w:val="multilevel"/>
    <w:tmpl w:val="FC2A8A4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lef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lef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360"/>
      </w:pPr>
    </w:lvl>
  </w:abstractNum>
  <w:abstractNum w:abstractNumId="3" w15:restartNumberingAfterBreak="0">
    <w:nsid w:val="4A16034C"/>
    <w:multiLevelType w:val="hybridMultilevel"/>
    <w:tmpl w:val="2C0C2878"/>
    <w:lvl w:ilvl="0" w:tplc="0CDA6C6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 w:numId="2">
    <w:abstractNumId w:val="1"/>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embedSystemFonts/>
  <w:bordersDoNotSurroundHeader/>
  <w:bordersDoNotSurroundFooter/>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7E3158"/>
    <w:rsid w:val="00041CDA"/>
    <w:rsid w:val="0008537A"/>
    <w:rsid w:val="00091091"/>
    <w:rsid w:val="0009139A"/>
    <w:rsid w:val="00091A37"/>
    <w:rsid w:val="0009758E"/>
    <w:rsid w:val="000A3E8F"/>
    <w:rsid w:val="000B0B8F"/>
    <w:rsid w:val="000B6FFE"/>
    <w:rsid w:val="001004FB"/>
    <w:rsid w:val="0010239A"/>
    <w:rsid w:val="0015321B"/>
    <w:rsid w:val="00160C7C"/>
    <w:rsid w:val="00187305"/>
    <w:rsid w:val="001B2415"/>
    <w:rsid w:val="001D5CA2"/>
    <w:rsid w:val="001F59E4"/>
    <w:rsid w:val="00221B6B"/>
    <w:rsid w:val="00222FBB"/>
    <w:rsid w:val="00227478"/>
    <w:rsid w:val="00251D92"/>
    <w:rsid w:val="003027FE"/>
    <w:rsid w:val="00353D2C"/>
    <w:rsid w:val="00381FB7"/>
    <w:rsid w:val="00390C8C"/>
    <w:rsid w:val="003A2CFA"/>
    <w:rsid w:val="003A4891"/>
    <w:rsid w:val="003A52A7"/>
    <w:rsid w:val="003C3CA7"/>
    <w:rsid w:val="003F7C5E"/>
    <w:rsid w:val="00400A41"/>
    <w:rsid w:val="00413DCD"/>
    <w:rsid w:val="004308AD"/>
    <w:rsid w:val="00430D11"/>
    <w:rsid w:val="00481694"/>
    <w:rsid w:val="004B0A30"/>
    <w:rsid w:val="004B1CAD"/>
    <w:rsid w:val="004C1F35"/>
    <w:rsid w:val="004D7BEE"/>
    <w:rsid w:val="004F77B7"/>
    <w:rsid w:val="00502CB6"/>
    <w:rsid w:val="005366CD"/>
    <w:rsid w:val="0057371B"/>
    <w:rsid w:val="00597440"/>
    <w:rsid w:val="005B42FC"/>
    <w:rsid w:val="005E4426"/>
    <w:rsid w:val="0062308B"/>
    <w:rsid w:val="00626603"/>
    <w:rsid w:val="0064159F"/>
    <w:rsid w:val="00647843"/>
    <w:rsid w:val="00647F58"/>
    <w:rsid w:val="006746AC"/>
    <w:rsid w:val="00680185"/>
    <w:rsid w:val="006B79D7"/>
    <w:rsid w:val="006D0DD2"/>
    <w:rsid w:val="006D5C8F"/>
    <w:rsid w:val="00712345"/>
    <w:rsid w:val="00761C2A"/>
    <w:rsid w:val="00765AE4"/>
    <w:rsid w:val="007D2224"/>
    <w:rsid w:val="007D2679"/>
    <w:rsid w:val="007E0E09"/>
    <w:rsid w:val="007E3158"/>
    <w:rsid w:val="0080566E"/>
    <w:rsid w:val="0081408A"/>
    <w:rsid w:val="00856F01"/>
    <w:rsid w:val="008819BC"/>
    <w:rsid w:val="008E0887"/>
    <w:rsid w:val="00900606"/>
    <w:rsid w:val="009311BB"/>
    <w:rsid w:val="00996576"/>
    <w:rsid w:val="009D403D"/>
    <w:rsid w:val="009F38EF"/>
    <w:rsid w:val="00A01AC5"/>
    <w:rsid w:val="00A56119"/>
    <w:rsid w:val="00A605D4"/>
    <w:rsid w:val="00A74150"/>
    <w:rsid w:val="00A872DC"/>
    <w:rsid w:val="00A94796"/>
    <w:rsid w:val="00AC1FDE"/>
    <w:rsid w:val="00AC28BF"/>
    <w:rsid w:val="00AE6250"/>
    <w:rsid w:val="00AF584F"/>
    <w:rsid w:val="00B04CE7"/>
    <w:rsid w:val="00B13455"/>
    <w:rsid w:val="00B51A46"/>
    <w:rsid w:val="00BC01DE"/>
    <w:rsid w:val="00BD79C8"/>
    <w:rsid w:val="00C014FC"/>
    <w:rsid w:val="00C32EB0"/>
    <w:rsid w:val="00C47326"/>
    <w:rsid w:val="00C47E1B"/>
    <w:rsid w:val="00C50513"/>
    <w:rsid w:val="00D30E3C"/>
    <w:rsid w:val="00D534B4"/>
    <w:rsid w:val="00D8715E"/>
    <w:rsid w:val="00DC5056"/>
    <w:rsid w:val="00DE315D"/>
    <w:rsid w:val="00E03DA2"/>
    <w:rsid w:val="00E33CAA"/>
    <w:rsid w:val="00E351EF"/>
    <w:rsid w:val="00E63979"/>
    <w:rsid w:val="00E64DF2"/>
    <w:rsid w:val="00E7357D"/>
    <w:rsid w:val="00EA58B4"/>
    <w:rsid w:val="00EC4C20"/>
    <w:rsid w:val="00F01227"/>
    <w:rsid w:val="00F52FD0"/>
    <w:rsid w:val="00F85B62"/>
    <w:rsid w:val="00FA2243"/>
    <w:rsid w:val="00FB66E1"/>
    <w:rsid w:val="00FE4433"/>
    <w:rsid w:val="00FF3ED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F4F88A"/>
  <w15:docId w15:val="{1BC7A1AE-5E7C-6C46-A352-EDBBA05442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zh-TW" w:bidi="ar-SA"/>
      </w:rPr>
    </w:rPrDefault>
    <w:pPrDefault>
      <w:pPr>
        <w:spacing w:after="200"/>
      </w:pPr>
    </w:pPrDefault>
  </w:docDefaults>
  <w:latentStyles w:defLockedState="0" w:defUIPriority="0" w:defSemiHidden="0" w:defUnhideWhenUsed="0" w:defQFormat="0" w:count="376">
    <w:lsdException w:name="heading 5"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Bullet 2" w:semiHidden="1" w:unhideWhenUsed="1"/>
    <w:lsdException w:name="List Bullet 3"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style>
  <w:style w:type="paragraph" w:styleId="1">
    <w:name w:val="heading 1"/>
    <w:basedOn w:val="a"/>
    <w:next w:val="a0"/>
    <w:link w:val="10"/>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0"/>
    <w:link w:val="20"/>
    <w:uiPriority w:val="9"/>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0"/>
    <w:link w:val="30"/>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0"/>
    <w:link w:val="40"/>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0"/>
    <w:link w:val="50"/>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6">
    <w:name w:val="heading 6"/>
    <w:basedOn w:val="a"/>
    <w:next w:val="a0"/>
    <w:link w:val="60"/>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0"/>
    <w:link w:val="70"/>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8">
    <w:name w:val="heading 8"/>
    <w:basedOn w:val="a"/>
    <w:next w:val="a0"/>
    <w:link w:val="80"/>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9">
    <w:name w:val="heading 9"/>
    <w:basedOn w:val="a"/>
    <w:next w:val="a0"/>
    <w:link w:val="90"/>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pPr>
      <w:spacing w:before="180" w:after="180"/>
    </w:pPr>
  </w:style>
  <w:style w:type="paragraph" w:customStyle="1" w:styleId="FirstParagraph">
    <w:name w:val="First Paragraph"/>
    <w:basedOn w:val="a0"/>
    <w:next w:val="a0"/>
    <w:qFormat/>
  </w:style>
  <w:style w:type="paragraph" w:customStyle="1" w:styleId="Compact">
    <w:name w:val="Compact"/>
    <w:basedOn w:val="a0"/>
    <w:qFormat/>
    <w:pPr>
      <w:spacing w:before="36" w:after="36"/>
    </w:pPr>
  </w:style>
  <w:style w:type="paragraph" w:styleId="a4">
    <w:name w:val="Title"/>
    <w:basedOn w:val="a"/>
    <w:next w:val="a0"/>
    <w:link w:val="a5"/>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a5">
    <w:name w:val="標題 字元"/>
    <w:basedOn w:val="a1"/>
    <w:link w:val="a4"/>
    <w:uiPriority w:val="10"/>
    <w:rsid w:val="00A10FD9"/>
    <w:rPr>
      <w:rFonts w:asciiTheme="majorHAnsi" w:eastAsiaTheme="majorEastAsia" w:hAnsiTheme="majorHAnsi" w:cstheme="majorBidi"/>
      <w:spacing w:val="-10"/>
      <w:kern w:val="28"/>
      <w:sz w:val="56"/>
      <w:szCs w:val="56"/>
    </w:rPr>
  </w:style>
  <w:style w:type="paragraph" w:styleId="a6">
    <w:name w:val="Subtitle"/>
    <w:basedOn w:val="a4"/>
    <w:next w:val="a0"/>
    <w:link w:val="a7"/>
    <w:uiPriority w:val="11"/>
    <w:qFormat/>
    <w:rsid w:val="00A10FD9"/>
    <w:pPr>
      <w:numPr>
        <w:ilvl w:val="1"/>
      </w:numPr>
    </w:pPr>
    <w:rPr>
      <w:spacing w:val="15"/>
      <w:sz w:val="28"/>
      <w:szCs w:val="28"/>
    </w:rPr>
  </w:style>
  <w:style w:type="character" w:customStyle="1" w:styleId="a7">
    <w:name w:val="副標題 字元"/>
    <w:basedOn w:val="a1"/>
    <w:link w:val="a6"/>
    <w:uiPriority w:val="11"/>
    <w:rsid w:val="00A10FD9"/>
    <w:rPr>
      <w:rFonts w:eastAsiaTheme="majorEastAsia" w:cstheme="majorBidi"/>
      <w:color w:val="595959" w:themeColor="text1" w:themeTint="A6"/>
      <w:spacing w:val="15"/>
      <w:sz w:val="28"/>
      <w:szCs w:val="28"/>
    </w:rPr>
  </w:style>
  <w:style w:type="paragraph" w:customStyle="1" w:styleId="Author">
    <w:name w:val="Author"/>
    <w:next w:val="a0"/>
    <w:qFormat/>
    <w:pPr>
      <w:keepNext/>
      <w:keepLines/>
      <w:jc w:val="center"/>
    </w:pPr>
  </w:style>
  <w:style w:type="paragraph" w:styleId="a8">
    <w:name w:val="Date"/>
    <w:next w:val="a0"/>
    <w:qFormat/>
    <w:pPr>
      <w:keepNext/>
      <w:keepLines/>
      <w:jc w:val="center"/>
    </w:pPr>
  </w:style>
  <w:style w:type="paragraph" w:customStyle="1" w:styleId="AbstractTitle">
    <w:name w:val="Abstract Title"/>
    <w:basedOn w:val="a"/>
    <w:next w:val="Abstract"/>
    <w:qFormat/>
    <w:pPr>
      <w:keepNext/>
      <w:keepLines/>
      <w:spacing w:before="300" w:after="0"/>
      <w:jc w:val="center"/>
    </w:pPr>
    <w:rPr>
      <w:b/>
      <w:sz w:val="20"/>
      <w:szCs w:val="20"/>
    </w:rPr>
  </w:style>
  <w:style w:type="paragraph" w:customStyle="1" w:styleId="Abstract">
    <w:name w:val="Abstract"/>
    <w:basedOn w:val="a"/>
    <w:next w:val="a0"/>
    <w:qFormat/>
    <w:pPr>
      <w:keepNext/>
      <w:keepLines/>
      <w:spacing w:before="100" w:after="300"/>
    </w:pPr>
    <w:rPr>
      <w:sz w:val="20"/>
      <w:szCs w:val="20"/>
    </w:rPr>
  </w:style>
  <w:style w:type="paragraph" w:styleId="a9">
    <w:name w:val="Bibliography"/>
    <w:basedOn w:val="a"/>
    <w:qFormat/>
  </w:style>
  <w:style w:type="character" w:customStyle="1" w:styleId="10">
    <w:name w:val="標題 1 字元"/>
    <w:basedOn w:val="a1"/>
    <w:link w:val="1"/>
    <w:uiPriority w:val="9"/>
    <w:rsid w:val="00A10FD9"/>
    <w:rPr>
      <w:rFonts w:asciiTheme="majorHAnsi" w:eastAsiaTheme="majorEastAsia" w:hAnsiTheme="majorHAnsi" w:cstheme="majorBidi"/>
      <w:color w:val="0F4761" w:themeColor="accent1" w:themeShade="BF"/>
      <w:sz w:val="40"/>
      <w:szCs w:val="40"/>
    </w:rPr>
  </w:style>
  <w:style w:type="character" w:customStyle="1" w:styleId="20">
    <w:name w:val="標題 2 字元"/>
    <w:basedOn w:val="a1"/>
    <w:link w:val="2"/>
    <w:uiPriority w:val="9"/>
    <w:rsid w:val="00A10FD9"/>
    <w:rPr>
      <w:rFonts w:asciiTheme="majorHAnsi" w:eastAsiaTheme="majorEastAsia" w:hAnsiTheme="majorHAnsi" w:cstheme="majorBidi"/>
      <w:color w:val="0F4761" w:themeColor="accent1" w:themeShade="BF"/>
      <w:sz w:val="32"/>
      <w:szCs w:val="32"/>
    </w:rPr>
  </w:style>
  <w:style w:type="character" w:customStyle="1" w:styleId="30">
    <w:name w:val="標題 3 字元"/>
    <w:basedOn w:val="a1"/>
    <w:link w:val="3"/>
    <w:uiPriority w:val="9"/>
    <w:semiHidden/>
    <w:rsid w:val="00A10FD9"/>
    <w:rPr>
      <w:rFonts w:eastAsiaTheme="majorEastAsia" w:cstheme="majorBidi"/>
      <w:color w:val="0F4761" w:themeColor="accent1" w:themeShade="BF"/>
      <w:sz w:val="28"/>
      <w:szCs w:val="28"/>
    </w:rPr>
  </w:style>
  <w:style w:type="character" w:customStyle="1" w:styleId="40">
    <w:name w:val="標題 4 字元"/>
    <w:basedOn w:val="a1"/>
    <w:link w:val="4"/>
    <w:uiPriority w:val="9"/>
    <w:semiHidden/>
    <w:rsid w:val="00A10FD9"/>
    <w:rPr>
      <w:rFonts w:eastAsiaTheme="majorEastAsia" w:cstheme="majorBidi"/>
      <w:i/>
      <w:iCs/>
      <w:color w:val="0F4761" w:themeColor="accent1" w:themeShade="BF"/>
    </w:rPr>
  </w:style>
  <w:style w:type="character" w:customStyle="1" w:styleId="50">
    <w:name w:val="標題 5 字元"/>
    <w:basedOn w:val="a1"/>
    <w:link w:val="5"/>
    <w:uiPriority w:val="9"/>
    <w:semiHidden/>
    <w:rsid w:val="00A10FD9"/>
    <w:rPr>
      <w:rFonts w:eastAsiaTheme="majorEastAsia" w:cstheme="majorBidi"/>
      <w:color w:val="0F4761" w:themeColor="accent1" w:themeShade="BF"/>
    </w:rPr>
  </w:style>
  <w:style w:type="character" w:customStyle="1" w:styleId="60">
    <w:name w:val="標題 6 字元"/>
    <w:basedOn w:val="a1"/>
    <w:link w:val="6"/>
    <w:uiPriority w:val="9"/>
    <w:semiHidden/>
    <w:rsid w:val="00A10FD9"/>
    <w:rPr>
      <w:rFonts w:eastAsiaTheme="majorEastAsia" w:cstheme="majorBidi"/>
      <w:i/>
      <w:iCs/>
      <w:color w:val="595959" w:themeColor="text1" w:themeTint="A6"/>
    </w:rPr>
  </w:style>
  <w:style w:type="character" w:customStyle="1" w:styleId="70">
    <w:name w:val="標題 7 字元"/>
    <w:basedOn w:val="a1"/>
    <w:link w:val="7"/>
    <w:uiPriority w:val="9"/>
    <w:semiHidden/>
    <w:rsid w:val="00A10FD9"/>
    <w:rPr>
      <w:rFonts w:eastAsiaTheme="majorEastAsia" w:cstheme="majorBidi"/>
      <w:color w:val="595959" w:themeColor="text1" w:themeTint="A6"/>
    </w:rPr>
  </w:style>
  <w:style w:type="character" w:customStyle="1" w:styleId="80">
    <w:name w:val="標題 8 字元"/>
    <w:basedOn w:val="a1"/>
    <w:link w:val="8"/>
    <w:uiPriority w:val="9"/>
    <w:semiHidden/>
    <w:rsid w:val="00A10FD9"/>
    <w:rPr>
      <w:rFonts w:eastAsiaTheme="majorEastAsia" w:cstheme="majorBidi"/>
      <w:i/>
      <w:iCs/>
      <w:color w:val="272727" w:themeColor="text1" w:themeTint="D8"/>
    </w:rPr>
  </w:style>
  <w:style w:type="character" w:customStyle="1" w:styleId="90">
    <w:name w:val="標題 9 字元"/>
    <w:basedOn w:val="a1"/>
    <w:link w:val="9"/>
    <w:uiPriority w:val="9"/>
    <w:semiHidden/>
    <w:rsid w:val="00A10FD9"/>
    <w:rPr>
      <w:rFonts w:eastAsiaTheme="majorEastAsia" w:cstheme="majorBidi"/>
      <w:color w:val="272727" w:themeColor="text1" w:themeTint="D8"/>
    </w:rPr>
  </w:style>
  <w:style w:type="paragraph" w:styleId="aa">
    <w:name w:val="Block Text"/>
    <w:basedOn w:val="a0"/>
    <w:next w:val="a0"/>
    <w:uiPriority w:val="9"/>
    <w:unhideWhenUsed/>
    <w:qFormat/>
    <w:pPr>
      <w:spacing w:before="100" w:after="100"/>
      <w:ind w:left="480" w:right="480"/>
    </w:pPr>
  </w:style>
  <w:style w:type="paragraph" w:styleId="ab">
    <w:name w:val="footnote text"/>
    <w:basedOn w:val="a"/>
    <w:uiPriority w:val="9"/>
    <w:unhideWhenUsed/>
    <w:qFormat/>
  </w:style>
  <w:style w:type="paragraph" w:customStyle="1" w:styleId="FootnoteBlockText">
    <w:name w:val="Footnote Block Text"/>
    <w:basedOn w:val="ab"/>
    <w:next w:val="ab"/>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a"/>
    <w:next w:val="Definition"/>
    <w:pPr>
      <w:keepNext/>
      <w:keepLines/>
      <w:spacing w:after="0"/>
    </w:pPr>
    <w:rPr>
      <w:b/>
    </w:rPr>
  </w:style>
  <w:style w:type="paragraph" w:customStyle="1" w:styleId="Definition">
    <w:name w:val="Definition"/>
    <w:basedOn w:val="a"/>
  </w:style>
  <w:style w:type="paragraph" w:styleId="ac">
    <w:name w:val="caption"/>
    <w:basedOn w:val="a"/>
    <w:link w:val="ad"/>
    <w:pPr>
      <w:spacing w:after="120"/>
    </w:pPr>
    <w:rPr>
      <w:i/>
    </w:rPr>
  </w:style>
  <w:style w:type="paragraph" w:customStyle="1" w:styleId="TableCaption">
    <w:name w:val="Table Caption"/>
    <w:basedOn w:val="ac"/>
    <w:pPr>
      <w:keepNext/>
    </w:pPr>
  </w:style>
  <w:style w:type="paragraph" w:customStyle="1" w:styleId="ImageCaption">
    <w:name w:val="Image Caption"/>
    <w:basedOn w:val="ac"/>
  </w:style>
  <w:style w:type="paragraph" w:customStyle="1" w:styleId="Figure">
    <w:name w:val="Figure"/>
    <w:basedOn w:val="a"/>
  </w:style>
  <w:style w:type="paragraph" w:customStyle="1" w:styleId="CaptionedFigure">
    <w:name w:val="Captioned Figure"/>
    <w:basedOn w:val="Figure"/>
    <w:pPr>
      <w:keepNext/>
    </w:pPr>
  </w:style>
  <w:style w:type="character" w:customStyle="1" w:styleId="ad">
    <w:name w:val="標號 字元"/>
    <w:basedOn w:val="a1"/>
    <w:link w:val="ac"/>
  </w:style>
  <w:style w:type="character" w:customStyle="1" w:styleId="VerbatimChar">
    <w:name w:val="Verbatim Char"/>
    <w:basedOn w:val="ad"/>
    <w:link w:val="SourceCode"/>
    <w:rPr>
      <w:rFonts w:ascii="Consolas" w:hAnsi="Consolas"/>
      <w:sz w:val="22"/>
    </w:rPr>
  </w:style>
  <w:style w:type="character" w:customStyle="1" w:styleId="SectionNumber">
    <w:name w:val="Section Number"/>
    <w:basedOn w:val="ad"/>
  </w:style>
  <w:style w:type="character" w:styleId="ae">
    <w:name w:val="footnote reference"/>
    <w:basedOn w:val="ad"/>
    <w:rPr>
      <w:vertAlign w:val="superscript"/>
    </w:rPr>
  </w:style>
  <w:style w:type="character" w:styleId="af">
    <w:name w:val="Hyperlink"/>
    <w:basedOn w:val="ad"/>
    <w:rPr>
      <w:color w:val="156082" w:themeColor="accent1"/>
    </w:rPr>
  </w:style>
  <w:style w:type="paragraph" w:styleId="af0">
    <w:name w:val="TOC Heading"/>
    <w:basedOn w:val="1"/>
    <w:next w:val="a0"/>
    <w:uiPriority w:val="39"/>
    <w:unhideWhenUsed/>
    <w:qFormat/>
    <w:pPr>
      <w:spacing w:before="240" w:line="259" w:lineRule="auto"/>
      <w:outlineLvl w:val="9"/>
    </w:pPr>
  </w:style>
  <w:style w:type="paragraph" w:customStyle="1" w:styleId="SourceCode">
    <w:name w:val="Source Code"/>
    <w:basedOn w:val="a"/>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paragraph" w:styleId="Web">
    <w:name w:val="Normal (Web)"/>
    <w:basedOn w:val="a"/>
    <w:uiPriority w:val="99"/>
    <w:unhideWhenUsed/>
    <w:rsid w:val="003027FE"/>
    <w:pPr>
      <w:spacing w:before="100" w:beforeAutospacing="1" w:after="100" w:afterAutospacing="1"/>
    </w:pPr>
    <w:rPr>
      <w:rFonts w:ascii="新細明體" w:eastAsia="新細明體" w:hAnsi="新細明體" w:cs="新細明體"/>
    </w:rPr>
  </w:style>
  <w:style w:type="character" w:styleId="af1">
    <w:name w:val="Strong"/>
    <w:basedOn w:val="a1"/>
    <w:uiPriority w:val="22"/>
    <w:qFormat/>
    <w:rsid w:val="003027FE"/>
    <w:rPr>
      <w:b/>
      <w:bCs/>
    </w:rPr>
  </w:style>
  <w:style w:type="character" w:styleId="af2">
    <w:name w:val="Emphasis"/>
    <w:basedOn w:val="a1"/>
    <w:uiPriority w:val="20"/>
    <w:qFormat/>
    <w:rsid w:val="003027FE"/>
    <w:rPr>
      <w:i/>
      <w:iCs/>
    </w:rPr>
  </w:style>
  <w:style w:type="character" w:styleId="af3">
    <w:name w:val="FollowedHyperlink"/>
    <w:basedOn w:val="a1"/>
    <w:semiHidden/>
    <w:unhideWhenUsed/>
    <w:rsid w:val="0009139A"/>
    <w:rPr>
      <w:color w:val="96607D" w:themeColor="followedHyperlink"/>
      <w:u w:val="single"/>
    </w:rPr>
  </w:style>
  <w:style w:type="paragraph" w:styleId="af4">
    <w:name w:val="List Paragraph"/>
    <w:basedOn w:val="a"/>
    <w:rsid w:val="00712345"/>
    <w:pPr>
      <w:ind w:leftChars="200" w:left="480"/>
    </w:pPr>
  </w:style>
  <w:style w:type="paragraph" w:styleId="af5">
    <w:name w:val="footer"/>
    <w:basedOn w:val="a"/>
    <w:link w:val="af6"/>
    <w:unhideWhenUsed/>
    <w:rsid w:val="0081408A"/>
    <w:pPr>
      <w:tabs>
        <w:tab w:val="center" w:pos="4153"/>
        <w:tab w:val="right" w:pos="8306"/>
      </w:tabs>
      <w:snapToGrid w:val="0"/>
    </w:pPr>
    <w:rPr>
      <w:sz w:val="20"/>
      <w:szCs w:val="20"/>
    </w:rPr>
  </w:style>
  <w:style w:type="character" w:customStyle="1" w:styleId="af6">
    <w:name w:val="頁尾 字元"/>
    <w:basedOn w:val="a1"/>
    <w:link w:val="af5"/>
    <w:rsid w:val="0081408A"/>
    <w:rPr>
      <w:sz w:val="20"/>
      <w:szCs w:val="20"/>
    </w:rPr>
  </w:style>
  <w:style w:type="character" w:styleId="af7">
    <w:name w:val="page number"/>
    <w:basedOn w:val="a1"/>
    <w:semiHidden/>
    <w:unhideWhenUsed/>
    <w:rsid w:val="0081408A"/>
  </w:style>
  <w:style w:type="table" w:styleId="af8">
    <w:name w:val="Table Grid"/>
    <w:basedOn w:val="a2"/>
    <w:rsid w:val="00680185"/>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9">
    <w:name w:val="Unresolved Mention"/>
    <w:basedOn w:val="a1"/>
    <w:uiPriority w:val="99"/>
    <w:semiHidden/>
    <w:unhideWhenUsed/>
    <w:rsid w:val="00B51A4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6740585">
      <w:bodyDiv w:val="1"/>
      <w:marLeft w:val="0"/>
      <w:marRight w:val="0"/>
      <w:marTop w:val="0"/>
      <w:marBottom w:val="0"/>
      <w:divBdr>
        <w:top w:val="none" w:sz="0" w:space="0" w:color="auto"/>
        <w:left w:val="none" w:sz="0" w:space="0" w:color="auto"/>
        <w:bottom w:val="none" w:sz="0" w:space="0" w:color="auto"/>
        <w:right w:val="none" w:sz="0" w:space="0" w:color="auto"/>
      </w:divBdr>
    </w:div>
    <w:div w:id="392394548">
      <w:bodyDiv w:val="1"/>
      <w:marLeft w:val="0"/>
      <w:marRight w:val="0"/>
      <w:marTop w:val="0"/>
      <w:marBottom w:val="0"/>
      <w:divBdr>
        <w:top w:val="none" w:sz="0" w:space="0" w:color="auto"/>
        <w:left w:val="none" w:sz="0" w:space="0" w:color="auto"/>
        <w:bottom w:val="none" w:sz="0" w:space="0" w:color="auto"/>
        <w:right w:val="none" w:sz="0" w:space="0" w:color="auto"/>
      </w:divBdr>
    </w:div>
    <w:div w:id="400100801">
      <w:bodyDiv w:val="1"/>
      <w:marLeft w:val="0"/>
      <w:marRight w:val="0"/>
      <w:marTop w:val="0"/>
      <w:marBottom w:val="0"/>
      <w:divBdr>
        <w:top w:val="none" w:sz="0" w:space="0" w:color="auto"/>
        <w:left w:val="none" w:sz="0" w:space="0" w:color="auto"/>
        <w:bottom w:val="none" w:sz="0" w:space="0" w:color="auto"/>
        <w:right w:val="none" w:sz="0" w:space="0" w:color="auto"/>
      </w:divBdr>
    </w:div>
    <w:div w:id="834955308">
      <w:bodyDiv w:val="1"/>
      <w:marLeft w:val="0"/>
      <w:marRight w:val="0"/>
      <w:marTop w:val="0"/>
      <w:marBottom w:val="0"/>
      <w:divBdr>
        <w:top w:val="none" w:sz="0" w:space="0" w:color="auto"/>
        <w:left w:val="none" w:sz="0" w:space="0" w:color="auto"/>
        <w:bottom w:val="none" w:sz="0" w:space="0" w:color="auto"/>
        <w:right w:val="none" w:sz="0" w:space="0" w:color="auto"/>
      </w:divBdr>
    </w:div>
    <w:div w:id="858351144">
      <w:bodyDiv w:val="1"/>
      <w:marLeft w:val="0"/>
      <w:marRight w:val="0"/>
      <w:marTop w:val="0"/>
      <w:marBottom w:val="0"/>
      <w:divBdr>
        <w:top w:val="none" w:sz="0" w:space="0" w:color="auto"/>
        <w:left w:val="none" w:sz="0" w:space="0" w:color="auto"/>
        <w:bottom w:val="none" w:sz="0" w:space="0" w:color="auto"/>
        <w:right w:val="none" w:sz="0" w:space="0" w:color="auto"/>
      </w:divBdr>
    </w:div>
    <w:div w:id="922882394">
      <w:bodyDiv w:val="1"/>
      <w:marLeft w:val="0"/>
      <w:marRight w:val="0"/>
      <w:marTop w:val="0"/>
      <w:marBottom w:val="0"/>
      <w:divBdr>
        <w:top w:val="none" w:sz="0" w:space="0" w:color="auto"/>
        <w:left w:val="none" w:sz="0" w:space="0" w:color="auto"/>
        <w:bottom w:val="none" w:sz="0" w:space="0" w:color="auto"/>
        <w:right w:val="none" w:sz="0" w:space="0" w:color="auto"/>
      </w:divBdr>
    </w:div>
    <w:div w:id="1012531650">
      <w:bodyDiv w:val="1"/>
      <w:marLeft w:val="0"/>
      <w:marRight w:val="0"/>
      <w:marTop w:val="0"/>
      <w:marBottom w:val="0"/>
      <w:divBdr>
        <w:top w:val="none" w:sz="0" w:space="0" w:color="auto"/>
        <w:left w:val="none" w:sz="0" w:space="0" w:color="auto"/>
        <w:bottom w:val="none" w:sz="0" w:space="0" w:color="auto"/>
        <w:right w:val="none" w:sz="0" w:space="0" w:color="auto"/>
      </w:divBdr>
    </w:div>
    <w:div w:id="1056659727">
      <w:bodyDiv w:val="1"/>
      <w:marLeft w:val="0"/>
      <w:marRight w:val="0"/>
      <w:marTop w:val="0"/>
      <w:marBottom w:val="0"/>
      <w:divBdr>
        <w:top w:val="none" w:sz="0" w:space="0" w:color="auto"/>
        <w:left w:val="none" w:sz="0" w:space="0" w:color="auto"/>
        <w:bottom w:val="none" w:sz="0" w:space="0" w:color="auto"/>
        <w:right w:val="none" w:sz="0" w:space="0" w:color="auto"/>
      </w:divBdr>
    </w:div>
    <w:div w:id="1135102632">
      <w:bodyDiv w:val="1"/>
      <w:marLeft w:val="0"/>
      <w:marRight w:val="0"/>
      <w:marTop w:val="0"/>
      <w:marBottom w:val="0"/>
      <w:divBdr>
        <w:top w:val="none" w:sz="0" w:space="0" w:color="auto"/>
        <w:left w:val="none" w:sz="0" w:space="0" w:color="auto"/>
        <w:bottom w:val="none" w:sz="0" w:space="0" w:color="auto"/>
        <w:right w:val="none" w:sz="0" w:space="0" w:color="auto"/>
      </w:divBdr>
    </w:div>
    <w:div w:id="1618681458">
      <w:bodyDiv w:val="1"/>
      <w:marLeft w:val="0"/>
      <w:marRight w:val="0"/>
      <w:marTop w:val="0"/>
      <w:marBottom w:val="0"/>
      <w:divBdr>
        <w:top w:val="none" w:sz="0" w:space="0" w:color="auto"/>
        <w:left w:val="none" w:sz="0" w:space="0" w:color="auto"/>
        <w:bottom w:val="none" w:sz="0" w:space="0" w:color="auto"/>
        <w:right w:val="none" w:sz="0" w:space="0" w:color="auto"/>
      </w:divBdr>
    </w:div>
    <w:div w:id="1666401037">
      <w:bodyDiv w:val="1"/>
      <w:marLeft w:val="0"/>
      <w:marRight w:val="0"/>
      <w:marTop w:val="0"/>
      <w:marBottom w:val="0"/>
      <w:divBdr>
        <w:top w:val="none" w:sz="0" w:space="0" w:color="auto"/>
        <w:left w:val="none" w:sz="0" w:space="0" w:color="auto"/>
        <w:bottom w:val="none" w:sz="0" w:space="0" w:color="auto"/>
        <w:right w:val="none" w:sz="0" w:space="0" w:color="auto"/>
      </w:divBdr>
    </w:div>
    <w:div w:id="1679649314">
      <w:bodyDiv w:val="1"/>
      <w:marLeft w:val="0"/>
      <w:marRight w:val="0"/>
      <w:marTop w:val="0"/>
      <w:marBottom w:val="0"/>
      <w:divBdr>
        <w:top w:val="none" w:sz="0" w:space="0" w:color="auto"/>
        <w:left w:val="none" w:sz="0" w:space="0" w:color="auto"/>
        <w:bottom w:val="none" w:sz="0" w:space="0" w:color="auto"/>
        <w:right w:val="none" w:sz="0" w:space="0" w:color="auto"/>
      </w:divBdr>
    </w:div>
    <w:div w:id="1708018595">
      <w:bodyDiv w:val="1"/>
      <w:marLeft w:val="0"/>
      <w:marRight w:val="0"/>
      <w:marTop w:val="0"/>
      <w:marBottom w:val="0"/>
      <w:divBdr>
        <w:top w:val="none" w:sz="0" w:space="0" w:color="auto"/>
        <w:left w:val="none" w:sz="0" w:space="0" w:color="auto"/>
        <w:bottom w:val="none" w:sz="0" w:space="0" w:color="auto"/>
        <w:right w:val="none" w:sz="0" w:space="0" w:color="auto"/>
      </w:divBdr>
    </w:div>
    <w:div w:id="1755008294">
      <w:bodyDiv w:val="1"/>
      <w:marLeft w:val="0"/>
      <w:marRight w:val="0"/>
      <w:marTop w:val="0"/>
      <w:marBottom w:val="0"/>
      <w:divBdr>
        <w:top w:val="none" w:sz="0" w:space="0" w:color="auto"/>
        <w:left w:val="none" w:sz="0" w:space="0" w:color="auto"/>
        <w:bottom w:val="none" w:sz="0" w:space="0" w:color="auto"/>
        <w:right w:val="none" w:sz="0" w:space="0" w:color="auto"/>
      </w:divBdr>
    </w:div>
    <w:div w:id="1775201697">
      <w:bodyDiv w:val="1"/>
      <w:marLeft w:val="0"/>
      <w:marRight w:val="0"/>
      <w:marTop w:val="0"/>
      <w:marBottom w:val="0"/>
      <w:divBdr>
        <w:top w:val="none" w:sz="0" w:space="0" w:color="auto"/>
        <w:left w:val="none" w:sz="0" w:space="0" w:color="auto"/>
        <w:bottom w:val="none" w:sz="0" w:space="0" w:color="auto"/>
        <w:right w:val="none" w:sz="0" w:space="0" w:color="auto"/>
      </w:divBdr>
    </w:div>
    <w:div w:id="1850677392">
      <w:bodyDiv w:val="1"/>
      <w:marLeft w:val="0"/>
      <w:marRight w:val="0"/>
      <w:marTop w:val="0"/>
      <w:marBottom w:val="0"/>
      <w:divBdr>
        <w:top w:val="none" w:sz="0" w:space="0" w:color="auto"/>
        <w:left w:val="none" w:sz="0" w:space="0" w:color="auto"/>
        <w:bottom w:val="none" w:sz="0" w:space="0" w:color="auto"/>
        <w:right w:val="none" w:sz="0" w:space="0" w:color="auto"/>
      </w:divBdr>
    </w:div>
    <w:div w:id="190744640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da.gov/TobaccoProducts/Labeling/RulesRegulationsGuidance/default.ht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doi.org/10.1016/j.addbeh.2024.10819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21</Pages>
  <Words>4011</Words>
  <Characters>22864</Characters>
  <Application>Microsoft Office Word</Application>
  <DocSecurity>0</DocSecurity>
  <Lines>190</Lines>
  <Paragraphs>53</Paragraphs>
  <ScaleCrop>false</ScaleCrop>
  <Company/>
  <LinksUpToDate>false</LinksUpToDate>
  <CharactersWithSpaces>26822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 Office User</dc:creator>
  <cp:keywords/>
  <cp:lastModifiedBy>Microsoft Office User</cp:lastModifiedBy>
  <cp:revision>3</cp:revision>
  <cp:lastPrinted>2026-04-09T14:11:00Z</cp:lastPrinted>
  <dcterms:created xsi:type="dcterms:W3CDTF">2026-04-09T14:11:00Z</dcterms:created>
  <dcterms:modified xsi:type="dcterms:W3CDTF">2026-04-09T14:12:00Z</dcterms:modified>
  <dc:language>zh-TW</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